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5838" w14:textId="24A04D43" w:rsidR="000D159E" w:rsidRDefault="003B413E">
      <w:pPr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BITCOIN RECOVERY </w:t>
      </w:r>
      <w:r w:rsidR="004055E1">
        <w:rPr>
          <w:rFonts w:cs="Calibri"/>
          <w:b/>
          <w:bCs/>
        </w:rPr>
        <w:t>DRIVE</w:t>
      </w:r>
      <w:r w:rsidR="00581B24">
        <w:rPr>
          <w:rFonts w:cs="Calibri"/>
          <w:b/>
          <w:bCs/>
        </w:rPr>
        <w:t>S</w:t>
      </w:r>
      <w:r>
        <w:rPr>
          <w:rFonts w:cs="Calibri"/>
          <w:b/>
          <w:bCs/>
        </w:rPr>
        <w:t xml:space="preserve"> COINBASE FROM </w:t>
      </w:r>
      <w:r w:rsidR="007523C0">
        <w:rPr>
          <w:rFonts w:cs="Calibri"/>
          <w:b/>
          <w:bCs/>
        </w:rPr>
        <w:t>RECORD LOWS</w:t>
      </w:r>
    </w:p>
    <w:p w14:paraId="703F9AFD" w14:textId="5CCA7AEC" w:rsidR="006F4687" w:rsidRDefault="007523C0" w:rsidP="008D750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Bitcoin recovery story </w:t>
      </w:r>
      <w:r w:rsidR="00D9326E">
        <w:rPr>
          <w:rFonts w:asciiTheme="minorHAnsi" w:hAnsiTheme="minorHAnsi" w:cstheme="minorHAnsi"/>
        </w:rPr>
        <w:t>has</w:t>
      </w:r>
      <w:r w:rsidR="004055E1">
        <w:rPr>
          <w:rFonts w:asciiTheme="minorHAnsi" w:hAnsiTheme="minorHAnsi" w:cstheme="minorHAnsi"/>
        </w:rPr>
        <w:t xml:space="preserve"> boost</w:t>
      </w:r>
      <w:r w:rsidR="00D9326E">
        <w:rPr>
          <w:rFonts w:asciiTheme="minorHAnsi" w:hAnsiTheme="minorHAnsi" w:cstheme="minorHAnsi"/>
        </w:rPr>
        <w:t>ed</w:t>
      </w:r>
      <w:r w:rsidR="004055E1">
        <w:rPr>
          <w:rFonts w:asciiTheme="minorHAnsi" w:hAnsiTheme="minorHAnsi" w:cstheme="minorHAnsi"/>
        </w:rPr>
        <w:t xml:space="preserve"> shares in </w:t>
      </w:r>
      <w:r w:rsidR="00CF7AAD">
        <w:rPr>
          <w:rFonts w:asciiTheme="minorHAnsi" w:hAnsiTheme="minorHAnsi" w:cstheme="minorHAnsi"/>
        </w:rPr>
        <w:t xml:space="preserve">cryptocurrency exchange </w:t>
      </w:r>
      <w:r w:rsidR="004055E1">
        <w:rPr>
          <w:rFonts w:asciiTheme="minorHAnsi" w:hAnsiTheme="minorHAnsi" w:cstheme="minorHAnsi"/>
        </w:rPr>
        <w:t>Coinbase from re</w:t>
      </w:r>
      <w:r w:rsidR="00CF7AAD">
        <w:rPr>
          <w:rFonts w:asciiTheme="minorHAnsi" w:hAnsiTheme="minorHAnsi" w:cstheme="minorHAnsi"/>
        </w:rPr>
        <w:t>cord lows</w:t>
      </w:r>
      <w:r w:rsidR="000A3113">
        <w:rPr>
          <w:rFonts w:asciiTheme="minorHAnsi" w:hAnsiTheme="minorHAnsi" w:cstheme="minorHAnsi"/>
        </w:rPr>
        <w:t xml:space="preserve"> last year. </w:t>
      </w:r>
      <w:r w:rsidR="00341BBC">
        <w:rPr>
          <w:rFonts w:asciiTheme="minorHAnsi" w:hAnsiTheme="minorHAnsi" w:cstheme="minorHAnsi"/>
        </w:rPr>
        <w:t>Coinbase</w:t>
      </w:r>
      <w:r w:rsidR="009A1898">
        <w:rPr>
          <w:rFonts w:asciiTheme="minorHAnsi" w:hAnsiTheme="minorHAnsi" w:cstheme="minorHAnsi"/>
        </w:rPr>
        <w:t xml:space="preserve"> (COIN)</w:t>
      </w:r>
      <w:r w:rsidR="00341BBC">
        <w:rPr>
          <w:rFonts w:asciiTheme="minorHAnsi" w:hAnsiTheme="minorHAnsi" w:cstheme="minorHAnsi"/>
        </w:rPr>
        <w:t xml:space="preserve"> shares have rallied an </w:t>
      </w:r>
      <w:r w:rsidR="009F4A6E">
        <w:rPr>
          <w:rFonts w:asciiTheme="minorHAnsi" w:hAnsiTheme="minorHAnsi" w:cstheme="minorHAnsi"/>
        </w:rPr>
        <w:t>impressive</w:t>
      </w:r>
      <w:r w:rsidR="00341BBC">
        <w:rPr>
          <w:rFonts w:asciiTheme="minorHAnsi" w:hAnsiTheme="minorHAnsi" w:cstheme="minorHAnsi"/>
        </w:rPr>
        <w:t xml:space="preserve"> </w:t>
      </w:r>
      <w:r w:rsidR="009F4A6E">
        <w:rPr>
          <w:rFonts w:asciiTheme="minorHAnsi" w:hAnsiTheme="minorHAnsi" w:cstheme="minorHAnsi"/>
        </w:rPr>
        <w:t xml:space="preserve">120% from the low seen on </w:t>
      </w:r>
      <w:r w:rsidR="009B5514">
        <w:rPr>
          <w:rFonts w:asciiTheme="minorHAnsi" w:hAnsiTheme="minorHAnsi" w:cstheme="minorHAnsi"/>
        </w:rPr>
        <w:t>28</w:t>
      </w:r>
      <w:r w:rsidR="009B5514" w:rsidRPr="009B5514">
        <w:rPr>
          <w:rFonts w:asciiTheme="minorHAnsi" w:hAnsiTheme="minorHAnsi" w:cstheme="minorHAnsi"/>
          <w:vertAlign w:val="superscript"/>
        </w:rPr>
        <w:t>th</w:t>
      </w:r>
      <w:r w:rsidR="009B5514">
        <w:rPr>
          <w:rFonts w:asciiTheme="minorHAnsi" w:hAnsiTheme="minorHAnsi" w:cstheme="minorHAnsi"/>
        </w:rPr>
        <w:t xml:space="preserve"> December as </w:t>
      </w:r>
      <w:r w:rsidR="00AE5E05">
        <w:rPr>
          <w:rFonts w:asciiTheme="minorHAnsi" w:hAnsiTheme="minorHAnsi" w:cstheme="minorHAnsi"/>
        </w:rPr>
        <w:t xml:space="preserve">U.S. </w:t>
      </w:r>
      <w:r w:rsidR="009B5514">
        <w:rPr>
          <w:rFonts w:asciiTheme="minorHAnsi" w:hAnsiTheme="minorHAnsi" w:cstheme="minorHAnsi"/>
        </w:rPr>
        <w:t xml:space="preserve">markets have surged in the </w:t>
      </w:r>
      <w:r w:rsidR="00AE5E05">
        <w:rPr>
          <w:rFonts w:asciiTheme="minorHAnsi" w:hAnsiTheme="minorHAnsi" w:cstheme="minorHAnsi"/>
        </w:rPr>
        <w:t xml:space="preserve">new year on hopes that inflation is finally easing. </w:t>
      </w:r>
    </w:p>
    <w:p w14:paraId="0405C34B" w14:textId="1430B7F6" w:rsidR="006F4687" w:rsidRDefault="009F4777" w:rsidP="008D750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price of Bitcoin has </w:t>
      </w:r>
      <w:r w:rsidR="0012775F">
        <w:rPr>
          <w:rFonts w:asciiTheme="minorHAnsi" w:hAnsiTheme="minorHAnsi" w:cstheme="minorHAnsi"/>
        </w:rPr>
        <w:t xml:space="preserve">rallied 50% from </w:t>
      </w:r>
      <w:r w:rsidR="003520AA">
        <w:rPr>
          <w:rFonts w:asciiTheme="minorHAnsi" w:hAnsiTheme="minorHAnsi" w:cstheme="minorHAnsi"/>
        </w:rPr>
        <w:t>its</w:t>
      </w:r>
      <w:r w:rsidR="0012775F">
        <w:rPr>
          <w:rFonts w:asciiTheme="minorHAnsi" w:hAnsiTheme="minorHAnsi" w:cstheme="minorHAnsi"/>
        </w:rPr>
        <w:t xml:space="preserve"> lows seen in November last year</w:t>
      </w:r>
      <w:r>
        <w:rPr>
          <w:rFonts w:asciiTheme="minorHAnsi" w:hAnsiTheme="minorHAnsi" w:cstheme="minorHAnsi"/>
        </w:rPr>
        <w:t xml:space="preserve"> and </w:t>
      </w:r>
      <w:r w:rsidR="00DE23CE">
        <w:rPr>
          <w:rFonts w:asciiTheme="minorHAnsi" w:hAnsiTheme="minorHAnsi" w:cstheme="minorHAnsi"/>
        </w:rPr>
        <w:t>GraniteShares</w:t>
      </w:r>
      <w:r w:rsidR="00D73B2C">
        <w:rPr>
          <w:rFonts w:asciiTheme="minorHAnsi" w:hAnsiTheme="minorHAnsi" w:cstheme="minorHAnsi"/>
        </w:rPr>
        <w:t xml:space="preserve"> believes </w:t>
      </w:r>
      <w:r>
        <w:rPr>
          <w:rFonts w:asciiTheme="minorHAnsi" w:hAnsiTheme="minorHAnsi" w:cstheme="minorHAnsi"/>
        </w:rPr>
        <w:t>that will be good news for s</w:t>
      </w:r>
      <w:r w:rsidR="00FC517F">
        <w:rPr>
          <w:rFonts w:asciiTheme="minorHAnsi" w:hAnsiTheme="minorHAnsi" w:cstheme="minorHAnsi"/>
        </w:rPr>
        <w:t xml:space="preserve">ophisticated investors </w:t>
      </w:r>
      <w:r w:rsidR="006753A7">
        <w:rPr>
          <w:rFonts w:asciiTheme="minorHAnsi" w:hAnsiTheme="minorHAnsi" w:cstheme="minorHAnsi"/>
        </w:rPr>
        <w:t>looking</w:t>
      </w:r>
      <w:r w:rsidR="00E76C2C">
        <w:rPr>
          <w:rFonts w:asciiTheme="minorHAnsi" w:hAnsiTheme="minorHAnsi" w:cstheme="minorHAnsi"/>
        </w:rPr>
        <w:t xml:space="preserve"> to go long on Coinbase which </w:t>
      </w:r>
      <w:r w:rsidR="000148F8">
        <w:rPr>
          <w:rFonts w:asciiTheme="minorHAnsi" w:hAnsiTheme="minorHAnsi" w:cstheme="minorHAnsi"/>
        </w:rPr>
        <w:t>had</w:t>
      </w:r>
      <w:r w:rsidR="00E76C2C">
        <w:rPr>
          <w:rFonts w:asciiTheme="minorHAnsi" w:hAnsiTheme="minorHAnsi" w:cstheme="minorHAnsi"/>
        </w:rPr>
        <w:t xml:space="preserve"> </w:t>
      </w:r>
      <w:r w:rsidR="00B003E3">
        <w:rPr>
          <w:rFonts w:asciiTheme="minorHAnsi" w:hAnsiTheme="minorHAnsi" w:cstheme="minorHAnsi"/>
        </w:rPr>
        <w:t xml:space="preserve">lost as much as 85% of its value </w:t>
      </w:r>
      <w:r w:rsidR="000148F8">
        <w:rPr>
          <w:rFonts w:asciiTheme="minorHAnsi" w:hAnsiTheme="minorHAnsi" w:cstheme="minorHAnsi"/>
        </w:rPr>
        <w:t xml:space="preserve">in the Crypto winter, </w:t>
      </w:r>
      <w:r w:rsidR="00B003E3">
        <w:rPr>
          <w:rFonts w:asciiTheme="minorHAnsi" w:hAnsiTheme="minorHAnsi" w:cstheme="minorHAnsi"/>
        </w:rPr>
        <w:t xml:space="preserve">since hitting a </w:t>
      </w:r>
      <w:r w:rsidR="007A72F1">
        <w:rPr>
          <w:rFonts w:asciiTheme="minorHAnsi" w:hAnsiTheme="minorHAnsi" w:cstheme="minorHAnsi"/>
        </w:rPr>
        <w:t>record valuation of $77 billion at the start of November 2021.</w:t>
      </w:r>
      <w:r w:rsidR="00B003E3">
        <w:rPr>
          <w:rFonts w:asciiTheme="minorHAnsi" w:hAnsiTheme="minorHAnsi" w:cstheme="minorHAnsi"/>
        </w:rPr>
        <w:t xml:space="preserve"> </w:t>
      </w:r>
    </w:p>
    <w:p w14:paraId="5B69A1C1" w14:textId="58C46289" w:rsidR="00B203F2" w:rsidRDefault="00374D7D" w:rsidP="008D750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Coinbase, </w:t>
      </w:r>
      <w:r w:rsidR="00B203F2">
        <w:rPr>
          <w:rFonts w:asciiTheme="minorHAnsi" w:hAnsiTheme="minorHAnsi" w:cstheme="minorHAnsi"/>
        </w:rPr>
        <w:t xml:space="preserve">has suffered from the wipe-out in the cryptocurrency market driven by a combination of high-profile failures in the sector and rising interest rates which has hit Coinbase’s revenues and slashed its number of monthly users to </w:t>
      </w:r>
      <w:r w:rsidR="004E3A87">
        <w:rPr>
          <w:rFonts w:asciiTheme="minorHAnsi" w:hAnsiTheme="minorHAnsi" w:cstheme="minorHAnsi"/>
        </w:rPr>
        <w:t>8.5 million from a peak of 11.1 million</w:t>
      </w:r>
      <w:r w:rsidR="00125BC9">
        <w:rPr>
          <w:rFonts w:asciiTheme="minorHAnsi" w:hAnsiTheme="minorHAnsi" w:cstheme="minorHAnsi"/>
        </w:rPr>
        <w:t xml:space="preserve"> and assets under management.</w:t>
      </w:r>
    </w:p>
    <w:p w14:paraId="383255F7" w14:textId="23BBB112" w:rsidR="009460BC" w:rsidRPr="00BE33F4" w:rsidRDefault="003732B1" w:rsidP="009460BC">
      <w:pPr>
        <w:spacing w:line="360" w:lineRule="auto"/>
        <w:rPr>
          <w:rFonts w:asciiTheme="minorHAnsi" w:eastAsiaTheme="minorHAnsi" w:hAnsiTheme="minorHAnsi" w:cstheme="minorBidi"/>
          <w:color w:val="333333"/>
          <w:lang w:eastAsia="en-GB"/>
        </w:rPr>
      </w:pPr>
      <w:r>
        <w:rPr>
          <w:rFonts w:asciiTheme="minorHAnsi" w:hAnsiTheme="minorHAnsi" w:cstheme="minorHAnsi"/>
        </w:rPr>
        <w:t xml:space="preserve">Recent research from Graniteshares showed that investors had, perhaps unsurprisingly, </w:t>
      </w:r>
      <w:r w:rsidR="0067633F">
        <w:rPr>
          <w:rFonts w:asciiTheme="minorHAnsi" w:hAnsiTheme="minorHAnsi" w:cstheme="minorHAnsi"/>
        </w:rPr>
        <w:t>lost confidence in</w:t>
      </w:r>
      <w:r>
        <w:rPr>
          <w:rFonts w:asciiTheme="minorHAnsi" w:hAnsiTheme="minorHAnsi" w:cstheme="minorHAnsi"/>
        </w:rPr>
        <w:t xml:space="preserve"> the Crypto sector and </w:t>
      </w:r>
      <w:r w:rsidR="0025590D">
        <w:rPr>
          <w:rFonts w:asciiTheme="minorHAnsi" w:hAnsiTheme="minorHAnsi" w:cstheme="minorHAnsi"/>
        </w:rPr>
        <w:t>cryptocurrencies</w:t>
      </w:r>
      <w:r w:rsidR="0067633F">
        <w:rPr>
          <w:rFonts w:asciiTheme="minorHAnsi" w:hAnsiTheme="minorHAnsi" w:cstheme="minorHAnsi"/>
        </w:rPr>
        <w:t xml:space="preserve"> in general</w:t>
      </w:r>
      <w:r w:rsidR="009460BC">
        <w:rPr>
          <w:rFonts w:asciiTheme="minorHAnsi" w:hAnsiTheme="minorHAnsi" w:cstheme="minorHAnsi"/>
        </w:rPr>
        <w:t xml:space="preserve">. Its research* with UK traders shows </w:t>
      </w:r>
      <w:r w:rsidR="00F52ABB">
        <w:rPr>
          <w:rFonts w:asciiTheme="minorHAnsi" w:hAnsiTheme="minorHAnsi" w:cstheme="minorHAnsi"/>
        </w:rPr>
        <w:t xml:space="preserve">that </w:t>
      </w:r>
      <w:r w:rsidR="009460BC" w:rsidRPr="00BE33F4">
        <w:rPr>
          <w:rFonts w:asciiTheme="minorHAnsi" w:eastAsiaTheme="minorHAnsi" w:hAnsiTheme="minorHAnsi" w:cstheme="minorBidi"/>
          <w:color w:val="333333"/>
          <w:lang w:eastAsia="en-GB"/>
        </w:rPr>
        <w:t xml:space="preserve">33% </w:t>
      </w:r>
      <w:r w:rsidR="00F52ABB">
        <w:rPr>
          <w:rFonts w:asciiTheme="minorHAnsi" w:eastAsiaTheme="minorHAnsi" w:hAnsiTheme="minorHAnsi" w:cstheme="minorBidi"/>
          <w:color w:val="333333"/>
          <w:lang w:eastAsia="en-GB"/>
        </w:rPr>
        <w:t xml:space="preserve">of </w:t>
      </w:r>
      <w:r w:rsidR="009460BC" w:rsidRPr="00BE33F4">
        <w:rPr>
          <w:rFonts w:asciiTheme="minorHAnsi" w:eastAsiaTheme="minorHAnsi" w:hAnsiTheme="minorHAnsi" w:cstheme="minorBidi"/>
          <w:color w:val="333333"/>
          <w:lang w:eastAsia="en-GB"/>
        </w:rPr>
        <w:t>regular share traders say they now prefer to hold individual stocks in crypto companies</w:t>
      </w:r>
      <w:r w:rsidR="00F52ABB">
        <w:rPr>
          <w:rFonts w:asciiTheme="minorHAnsi" w:eastAsiaTheme="minorHAnsi" w:hAnsiTheme="minorHAnsi" w:cstheme="minorBidi"/>
          <w:color w:val="333333"/>
          <w:lang w:eastAsia="en-GB"/>
        </w:rPr>
        <w:t xml:space="preserve"> as opposed to crypto exchanges </w:t>
      </w:r>
      <w:r w:rsidR="00E37864">
        <w:rPr>
          <w:rFonts w:asciiTheme="minorHAnsi" w:eastAsiaTheme="minorHAnsi" w:hAnsiTheme="minorHAnsi" w:cstheme="minorBidi"/>
          <w:color w:val="333333"/>
          <w:lang w:eastAsia="en-GB"/>
        </w:rPr>
        <w:t>or platforms which can often be unregulated or offer little in the way of investor protections</w:t>
      </w:r>
      <w:r w:rsidR="009460BC">
        <w:rPr>
          <w:rFonts w:asciiTheme="minorHAnsi" w:eastAsiaTheme="minorHAnsi" w:hAnsiTheme="minorHAnsi" w:cstheme="minorBidi"/>
          <w:color w:val="333333"/>
          <w:lang w:eastAsia="en-GB"/>
        </w:rPr>
        <w:t>.</w:t>
      </w:r>
    </w:p>
    <w:p w14:paraId="78DDCE0F" w14:textId="100BA4C5" w:rsidR="0057331F" w:rsidRDefault="00FB30C9" w:rsidP="005733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Given the recent surge in Coinbase</w:t>
      </w:r>
      <w:r w:rsidR="009A1898">
        <w:rPr>
          <w:rFonts w:asciiTheme="minorHAnsi" w:hAnsiTheme="minorHAnsi" w:cstheme="minorHAnsi"/>
        </w:rPr>
        <w:t>,</w:t>
      </w:r>
      <w:r w:rsidR="00AB29C6">
        <w:rPr>
          <w:rFonts w:asciiTheme="minorHAnsi" w:hAnsiTheme="minorHAnsi" w:cstheme="minorHAnsi"/>
        </w:rPr>
        <w:t xml:space="preserve"> Bitcoin and other cryptocurrencies</w:t>
      </w:r>
      <w:r w:rsidR="009A1898">
        <w:rPr>
          <w:rFonts w:asciiTheme="minorHAnsi" w:hAnsiTheme="minorHAnsi" w:cstheme="minorHAnsi"/>
        </w:rPr>
        <w:t xml:space="preserve">, </w:t>
      </w:r>
      <w:r w:rsidR="00D17133">
        <w:rPr>
          <w:rFonts w:asciiTheme="minorHAnsi" w:hAnsiTheme="minorHAnsi" w:cstheme="minorHAnsi"/>
        </w:rPr>
        <w:t xml:space="preserve">GraniteShares </w:t>
      </w:r>
      <w:r w:rsidR="00631837">
        <w:rPr>
          <w:rFonts w:asciiTheme="minorHAnsi" w:hAnsiTheme="minorHAnsi" w:cstheme="minorHAnsi"/>
        </w:rPr>
        <w:t xml:space="preserve">says it could be </w:t>
      </w:r>
      <w:r w:rsidR="00D17133">
        <w:rPr>
          <w:rFonts w:asciiTheme="minorHAnsi" w:hAnsiTheme="minorHAnsi" w:cstheme="minorHAnsi"/>
        </w:rPr>
        <w:t>the right time to consider it</w:t>
      </w:r>
      <w:r w:rsidR="0057331F">
        <w:rPr>
          <w:rFonts w:asciiTheme="minorHAnsi" w:hAnsiTheme="minorHAnsi" w:cstheme="minorHAnsi"/>
        </w:rPr>
        <w:t xml:space="preserve">s 3x </w:t>
      </w:r>
      <w:bookmarkStart w:id="0" w:name="_Hlk125990279"/>
      <w:r w:rsidR="0057331F">
        <w:rPr>
          <w:rFonts w:asciiTheme="minorHAnsi" w:hAnsiTheme="minorHAnsi" w:cstheme="minorHAnsi"/>
        </w:rPr>
        <w:t xml:space="preserve">Long </w:t>
      </w:r>
      <w:bookmarkEnd w:id="0"/>
      <w:r w:rsidR="0057331F">
        <w:rPr>
          <w:rFonts w:asciiTheme="minorHAnsi" w:hAnsiTheme="minorHAnsi" w:cstheme="minorHAnsi"/>
        </w:rPr>
        <w:t xml:space="preserve">Daily ETP </w:t>
      </w:r>
      <w:r w:rsidR="0057331F" w:rsidRPr="00715AEC">
        <w:rPr>
          <w:rFonts w:asciiTheme="minorHAnsi" w:hAnsiTheme="minorHAnsi" w:cstheme="minorHAnsi"/>
          <w:color w:val="001EFF"/>
          <w:shd w:val="clear" w:color="auto" w:fill="FFFFFF"/>
        </w:rPr>
        <w:t>3LCO</w:t>
      </w:r>
      <w:r w:rsidR="0057331F">
        <w:rPr>
          <w:rFonts w:asciiTheme="minorHAnsi" w:hAnsiTheme="minorHAnsi" w:cstheme="minorHAnsi"/>
          <w:color w:val="001EFF"/>
          <w:shd w:val="clear" w:color="auto" w:fill="FFFFFF"/>
        </w:rPr>
        <w:t xml:space="preserve"> </w:t>
      </w:r>
      <w:r w:rsidR="0057331F">
        <w:rPr>
          <w:rFonts w:asciiTheme="minorHAnsi" w:hAnsiTheme="minorHAnsi" w:cstheme="minorHAnsi"/>
        </w:rPr>
        <w:t>to leverage gains.</w:t>
      </w:r>
    </w:p>
    <w:p w14:paraId="1828EDFA" w14:textId="6DAEE082" w:rsidR="005633F3" w:rsidRDefault="009F5D61" w:rsidP="008D7507">
      <w:pPr>
        <w:spacing w:line="360" w:lineRule="auto"/>
      </w:pPr>
      <w:r w:rsidRPr="003D6E13">
        <w:rPr>
          <w:rFonts w:eastAsia="Times New Roman" w:cs="Calibri"/>
          <w:b/>
          <w:bCs/>
          <w:lang w:eastAsia="en-GB"/>
        </w:rPr>
        <w:t xml:space="preserve">Will Rhind, Founder and CEO of GraniteShares, said: </w:t>
      </w:r>
      <w:r w:rsidR="00557432">
        <w:rPr>
          <w:color w:val="333333"/>
        </w:rPr>
        <w:t>“</w:t>
      </w:r>
      <w:r w:rsidR="00E64186">
        <w:rPr>
          <w:color w:val="333333"/>
        </w:rPr>
        <w:t>Price</w:t>
      </w:r>
      <w:r w:rsidR="004C7952">
        <w:rPr>
          <w:color w:val="333333"/>
        </w:rPr>
        <w:t xml:space="preserve"> p</w:t>
      </w:r>
      <w:r w:rsidR="0008503D">
        <w:rPr>
          <w:color w:val="333333"/>
        </w:rPr>
        <w:t xml:space="preserve">redictions </w:t>
      </w:r>
      <w:r w:rsidR="004C7952">
        <w:rPr>
          <w:color w:val="333333"/>
        </w:rPr>
        <w:t>for Bitcoin in the year ahead are more optimistic and while it may not reach its previous all-time high of more than $6</w:t>
      </w:r>
      <w:r w:rsidR="00C34BA0">
        <w:rPr>
          <w:color w:val="333333"/>
        </w:rPr>
        <w:t>8</w:t>
      </w:r>
      <w:r w:rsidR="004C7952">
        <w:rPr>
          <w:color w:val="333333"/>
        </w:rPr>
        <w:t>,000</w:t>
      </w:r>
      <w:r w:rsidR="0008503D">
        <w:rPr>
          <w:color w:val="333333"/>
        </w:rPr>
        <w:t xml:space="preserve"> </w:t>
      </w:r>
      <w:r w:rsidR="00B27A69">
        <w:rPr>
          <w:color w:val="333333"/>
        </w:rPr>
        <w:t xml:space="preserve">in 2023 there is scope for considerable growth from </w:t>
      </w:r>
      <w:r w:rsidR="00A65F4B">
        <w:t xml:space="preserve">current levels of around </w:t>
      </w:r>
      <w:r w:rsidR="00301554">
        <w:t>$23,</w:t>
      </w:r>
      <w:r w:rsidR="00B27A69">
        <w:t>000.</w:t>
      </w:r>
    </w:p>
    <w:p w14:paraId="007ECAFD" w14:textId="696865FF" w:rsidR="008577E3" w:rsidRPr="00826B5B" w:rsidRDefault="008577E3" w:rsidP="008D7507">
      <w:pPr>
        <w:spacing w:line="360" w:lineRule="auto"/>
        <w:rPr>
          <w:color w:val="333333"/>
        </w:rPr>
      </w:pPr>
      <w:r>
        <w:t>“</w:t>
      </w:r>
      <w:r w:rsidR="00993DCE">
        <w:t>T</w:t>
      </w:r>
      <w:r w:rsidR="00114AF6">
        <w:t xml:space="preserve">here is a growing </w:t>
      </w:r>
      <w:r w:rsidR="008A235A">
        <w:t>consensus</w:t>
      </w:r>
      <w:r w:rsidR="00114AF6">
        <w:t xml:space="preserve"> </w:t>
      </w:r>
      <w:r w:rsidR="008A235A">
        <w:t xml:space="preserve">that the price will recover strongly this year and </w:t>
      </w:r>
      <w:r w:rsidR="00823C2D">
        <w:t>there is similar optimism about Ethereum. O</w:t>
      </w:r>
      <w:r w:rsidR="008A235A">
        <w:t xml:space="preserve">ur own research shows </w:t>
      </w:r>
      <w:r w:rsidR="00B9606B">
        <w:t>traders are becoming more interested in crypto companies which is good news for Coinbase as one of the major exchanges.</w:t>
      </w:r>
    </w:p>
    <w:p w14:paraId="69D7A9A4" w14:textId="09125B1E" w:rsidR="0037662B" w:rsidRPr="00E27FD2" w:rsidRDefault="0037662B" w:rsidP="0037662B">
      <w:pPr>
        <w:spacing w:line="360" w:lineRule="auto"/>
        <w:rPr>
          <w:rFonts w:cs="Calibri"/>
          <w:shd w:val="clear" w:color="auto" w:fill="FFFFFF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GraniteShares </w:t>
      </w:r>
      <w:r w:rsidRPr="00E27FD2">
        <w:rPr>
          <w:rFonts w:asciiTheme="minorHAnsi" w:eastAsia="Times New Roman" w:hAnsiTheme="minorHAnsi" w:cstheme="minorHAnsi"/>
          <w:lang w:eastAsia="en-GB"/>
        </w:rPr>
        <w:t xml:space="preserve">offers a total of </w:t>
      </w:r>
      <w:r>
        <w:rPr>
          <w:rFonts w:asciiTheme="minorHAnsi" w:eastAsia="Times New Roman" w:hAnsiTheme="minorHAnsi" w:cstheme="minorHAnsi"/>
          <w:lang w:eastAsia="en-GB"/>
        </w:rPr>
        <w:t>129</w:t>
      </w:r>
      <w:r w:rsidRPr="00E27FD2">
        <w:rPr>
          <w:rFonts w:asciiTheme="minorHAnsi" w:eastAsia="Times New Roman" w:hAnsiTheme="minorHAnsi" w:cstheme="minorHAnsi"/>
          <w:lang w:eastAsia="en-GB"/>
        </w:rPr>
        <w:t xml:space="preserve"> exchange traded products (ETPs) listed on </w:t>
      </w:r>
      <w:r>
        <w:rPr>
          <w:rFonts w:asciiTheme="minorHAnsi" w:eastAsia="Times New Roman" w:hAnsiTheme="minorHAnsi" w:cstheme="minorHAnsi"/>
          <w:lang w:eastAsia="en-GB"/>
        </w:rPr>
        <w:t>national exchanges in UK, France, Italy, and Germany</w:t>
      </w:r>
      <w:r w:rsidRPr="00E27FD2">
        <w:rPr>
          <w:rFonts w:asciiTheme="minorHAnsi" w:eastAsia="Times New Roman" w:hAnsiTheme="minorHAnsi" w:cstheme="minorHAnsi"/>
          <w:lang w:eastAsia="en-GB"/>
        </w:rPr>
        <w:t xml:space="preserve">. They consist of a suite of index ETPs tracking FAANG stocks and a suite of Short and Leveraged Single Stock Daily ETPs tracking some of the most popular companies in UK US and European markets. </w:t>
      </w:r>
      <w:r>
        <w:rPr>
          <w:rFonts w:asciiTheme="minorHAnsi" w:eastAsia="Times New Roman" w:hAnsiTheme="minorHAnsi" w:cstheme="minorHAnsi"/>
          <w:lang w:eastAsia="en-GB"/>
        </w:rPr>
        <w:t>They also include</w:t>
      </w:r>
      <w:r w:rsidRPr="00E27FD2">
        <w:rPr>
          <w:rFonts w:cs="Calibri"/>
        </w:rPr>
        <w:t xml:space="preserve"> the </w:t>
      </w:r>
      <w:r w:rsidRPr="00E27FD2">
        <w:rPr>
          <w:rFonts w:asciiTheme="minorHAnsi" w:eastAsiaTheme="minorHAnsi" w:hAnsiTheme="minorHAnsi" w:cstheme="minorBidi"/>
          <w:lang w:eastAsia="en-GB"/>
        </w:rPr>
        <w:t>world’s first leveraged single stock ETP on NIO, the electric vehicle maker and distributor.</w:t>
      </w:r>
    </w:p>
    <w:p w14:paraId="1193DAE3" w14:textId="77777777" w:rsidR="0037662B" w:rsidRPr="002A5735" w:rsidRDefault="0037662B" w:rsidP="0037662B">
      <w:pPr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Bidi"/>
          <w:lang w:eastAsia="en-GB"/>
        </w:rPr>
      </w:pPr>
      <w:r w:rsidRPr="002A5735">
        <w:rPr>
          <w:rFonts w:asciiTheme="minorHAnsi" w:eastAsia="Times New Roman" w:hAnsiTheme="minorHAnsi" w:cstheme="minorHAnsi"/>
          <w:lang w:eastAsia="en-GB"/>
        </w:rPr>
        <w:lastRenderedPageBreak/>
        <w:t xml:space="preserve">Its </w:t>
      </w:r>
      <w:r w:rsidRPr="002A5735">
        <w:rPr>
          <w:rFonts w:asciiTheme="minorHAnsi" w:eastAsiaTheme="minorHAnsi" w:hAnsiTheme="minorHAnsi" w:cstheme="minorBidi"/>
          <w:lang w:eastAsia="en-GB"/>
        </w:rPr>
        <w:t>FAANG, GAFAM and FATANG product</w:t>
      </w:r>
      <w:r w:rsidRPr="002A5735">
        <w:rPr>
          <w:rFonts w:asciiTheme="minorHAnsi" w:eastAsiaTheme="minorHAnsi" w:hAnsiTheme="minorHAnsi" w:cstheme="minorHAnsi"/>
          <w:lang w:eastAsia="en-GB"/>
        </w:rPr>
        <w:t xml:space="preserve"> suite, offers long, short and 3X leveraged ETFs on FAANG, GAFAM and FATANG indices and can be traded in a single ticker symbol via ordinary brokerage accounts. </w:t>
      </w:r>
      <w:r w:rsidRPr="002A5735">
        <w:rPr>
          <w:rFonts w:asciiTheme="minorHAnsi" w:eastAsiaTheme="minorHAnsi" w:hAnsiTheme="minorHAnsi" w:cstheme="minorBidi"/>
          <w:lang w:eastAsia="en-GB"/>
        </w:rPr>
        <w:t xml:space="preserve">FAANG consists of Facebook, Amazon, Apple, Netflix, and Google while GAFAM includes Google, Apple, Facebook Amazon, and Microsoft and FATANG covers Facebook, Amazon, Tesla, Apple, Netflix, and Google  </w:t>
      </w:r>
    </w:p>
    <w:p w14:paraId="7040F5ED" w14:textId="77777777" w:rsidR="0037662B" w:rsidRPr="002A5735" w:rsidRDefault="0037662B" w:rsidP="0037662B">
      <w:pPr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HAnsi"/>
          <w:lang w:eastAsia="en-GB"/>
        </w:rPr>
      </w:pPr>
      <w:r w:rsidRPr="002A5735">
        <w:rPr>
          <w:rFonts w:asciiTheme="minorHAnsi" w:eastAsiaTheme="minorHAnsi" w:hAnsiTheme="minorHAnsi" w:cstheme="minorHAnsi"/>
          <w:lang w:eastAsia="en-GB"/>
        </w:rPr>
        <w:t>ETPs offer a pure way to gain exposure to top tech companies in the U.S. market. Indices are equally weighted and rebalanced quarterly.</w:t>
      </w:r>
    </w:p>
    <w:p w14:paraId="07277F89" w14:textId="77777777" w:rsidR="0037662B" w:rsidRPr="002A5735" w:rsidRDefault="0037662B" w:rsidP="0037662B">
      <w:pPr>
        <w:suppressAutoHyphens w:val="0"/>
        <w:autoSpaceDN/>
        <w:spacing w:after="0" w:line="240" w:lineRule="auto"/>
        <w:jc w:val="both"/>
        <w:textAlignment w:val="center"/>
        <w:rPr>
          <w:rFonts w:asciiTheme="minorHAnsi" w:eastAsia="Times New Roman" w:hAnsiTheme="minorHAnsi" w:cs="Calibri"/>
          <w:b/>
          <w:bCs/>
          <w:lang w:eastAsia="en-GB"/>
        </w:rPr>
      </w:pPr>
      <w:r w:rsidRPr="002A5735">
        <w:rPr>
          <w:rFonts w:asciiTheme="minorHAnsi" w:eastAsia="Times New Roman" w:hAnsiTheme="minorHAnsi" w:cs="Calibri"/>
          <w:b/>
          <w:bCs/>
          <w:lang w:eastAsia="en-GB"/>
        </w:rPr>
        <w:t>GraniteShares suite of ETPs on FAANG stocks</w:t>
      </w:r>
    </w:p>
    <w:p w14:paraId="115456C1" w14:textId="77777777" w:rsidR="0037662B" w:rsidRPr="002A5735" w:rsidRDefault="0037662B" w:rsidP="0037662B">
      <w:pPr>
        <w:suppressAutoHyphens w:val="0"/>
        <w:autoSpaceDN/>
        <w:spacing w:after="0" w:line="240" w:lineRule="auto"/>
        <w:jc w:val="both"/>
        <w:textAlignment w:val="center"/>
        <w:rPr>
          <w:rFonts w:asciiTheme="minorHAnsi" w:eastAsia="Times New Roman" w:hAnsiTheme="minorHAnsi" w:cs="Calibri"/>
          <w:b/>
          <w:bCs/>
          <w:lang w:eastAsia="en-GB"/>
        </w:rPr>
      </w:pPr>
    </w:p>
    <w:tbl>
      <w:tblPr>
        <w:tblW w:w="5980" w:type="dxa"/>
        <w:tblInd w:w="1340" w:type="dxa"/>
        <w:tblLook w:val="04A0" w:firstRow="1" w:lastRow="0" w:firstColumn="1" w:lastColumn="0" w:noHBand="0" w:noVBand="1"/>
      </w:tblPr>
      <w:tblGrid>
        <w:gridCol w:w="4440"/>
        <w:gridCol w:w="1540"/>
      </w:tblGrid>
      <w:tr w:rsidR="0037662B" w:rsidRPr="002A5735" w14:paraId="6E91F6A0" w14:textId="77777777" w:rsidTr="004C25FE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F57D" w14:textId="77777777" w:rsidR="0037662B" w:rsidRPr="002A5735" w:rsidRDefault="0037662B" w:rsidP="004C25FE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lang w:eastAsia="en-GB"/>
              </w:rPr>
              <w:t>Product Name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B246" w14:textId="77777777" w:rsidR="0037662B" w:rsidRPr="002A5735" w:rsidRDefault="0037662B" w:rsidP="004C25FE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lang w:eastAsia="en-GB"/>
              </w:rPr>
              <w:t>Ticker</w:t>
            </w:r>
          </w:p>
        </w:tc>
      </w:tr>
      <w:tr w:rsidR="0037662B" w:rsidRPr="002A5735" w14:paraId="038FAD3C" w14:textId="77777777" w:rsidTr="004C25FE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F581A" w14:textId="77777777" w:rsidR="0037662B" w:rsidRPr="002A5735" w:rsidRDefault="0037662B" w:rsidP="004C25FE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lang w:eastAsia="en-GB"/>
              </w:rPr>
              <w:t>GraniteShares FAANG ETP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C094" w14:textId="77777777" w:rsidR="0037662B" w:rsidRPr="002A5735" w:rsidRDefault="00000000" w:rsidP="004C25FE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hyperlink r:id="rId8" w:history="1">
              <w:r w:rsidR="0037662B" w:rsidRPr="002A5735">
                <w:rPr>
                  <w:rFonts w:asciiTheme="minorHAnsi" w:eastAsia="Times New Roman" w:hAnsiTheme="minorHAnsi" w:cs="Calibri"/>
                  <w:b/>
                  <w:bCs/>
                  <w:color w:val="0563C1" w:themeColor="hyperlink"/>
                  <w:u w:val="single"/>
                  <w:lang w:eastAsia="en-GB"/>
                </w:rPr>
                <w:t>FANG</w:t>
              </w:r>
            </w:hyperlink>
          </w:p>
        </w:tc>
      </w:tr>
      <w:tr w:rsidR="0037662B" w:rsidRPr="002A5735" w14:paraId="7BBFF240" w14:textId="77777777" w:rsidTr="004C25FE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58481" w14:textId="77777777" w:rsidR="0037662B" w:rsidRPr="002A5735" w:rsidRDefault="0037662B" w:rsidP="004C25FE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lang w:eastAsia="en-GB"/>
              </w:rPr>
              <w:t>GraniteShares GAFAM ETP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1B10" w14:textId="77777777" w:rsidR="0037662B" w:rsidRPr="002A5735" w:rsidRDefault="00000000" w:rsidP="004C25FE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hyperlink r:id="rId9" w:history="1">
              <w:r w:rsidR="0037662B" w:rsidRPr="002A5735">
                <w:rPr>
                  <w:rFonts w:asciiTheme="minorHAnsi" w:eastAsia="Times New Roman" w:hAnsiTheme="minorHAnsi" w:cs="Calibri"/>
                  <w:b/>
                  <w:bCs/>
                  <w:color w:val="0563C1" w:themeColor="hyperlink"/>
                  <w:u w:val="single"/>
                  <w:lang w:eastAsia="en-GB"/>
                </w:rPr>
                <w:t>GFAM</w:t>
              </w:r>
            </w:hyperlink>
          </w:p>
        </w:tc>
      </w:tr>
      <w:tr w:rsidR="0037662B" w:rsidRPr="002A5735" w14:paraId="520D1FE2" w14:textId="77777777" w:rsidTr="004C25FE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7F5C" w14:textId="77777777" w:rsidR="0037662B" w:rsidRPr="002A5735" w:rsidRDefault="0037662B" w:rsidP="004C25FE">
            <w:pPr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lang w:eastAsia="en-GB"/>
              </w:rPr>
              <w:t>GraniteShares FATANG ETP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9482" w14:textId="77777777" w:rsidR="0037662B" w:rsidRPr="002A5735" w:rsidRDefault="00000000" w:rsidP="004C25FE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 w:cs="Calibri"/>
                <w:b/>
                <w:bCs/>
                <w:lang w:eastAsia="en-GB"/>
              </w:rPr>
            </w:pPr>
            <w:hyperlink r:id="rId10" w:history="1">
              <w:r w:rsidR="0037662B" w:rsidRPr="002A5735">
                <w:rPr>
                  <w:rFonts w:asciiTheme="minorHAnsi" w:eastAsia="Times New Roman" w:hAnsiTheme="minorHAnsi" w:cs="Calibri"/>
                  <w:b/>
                  <w:bCs/>
                  <w:color w:val="0563C1" w:themeColor="hyperlink"/>
                  <w:u w:val="single"/>
                  <w:lang w:eastAsia="en-GB"/>
                </w:rPr>
                <w:t>FTNG</w:t>
              </w:r>
            </w:hyperlink>
          </w:p>
        </w:tc>
      </w:tr>
    </w:tbl>
    <w:p w14:paraId="5C8D0714" w14:textId="77777777" w:rsidR="0037662B" w:rsidRDefault="0037662B" w:rsidP="0037662B">
      <w:pPr>
        <w:suppressAutoHyphens w:val="0"/>
        <w:autoSpaceDN/>
        <w:spacing w:after="0" w:line="240" w:lineRule="auto"/>
        <w:jc w:val="both"/>
        <w:textAlignment w:val="center"/>
        <w:rPr>
          <w:rFonts w:asciiTheme="minorHAnsi" w:eastAsia="Times New Roman" w:hAnsiTheme="minorHAnsi" w:cs="Calibri"/>
          <w:b/>
          <w:bCs/>
          <w:lang w:eastAsia="en-GB"/>
        </w:rPr>
      </w:pPr>
    </w:p>
    <w:p w14:paraId="29556C46" w14:textId="77777777" w:rsidR="0037662B" w:rsidRPr="002A5735" w:rsidRDefault="0037662B" w:rsidP="0037662B">
      <w:pPr>
        <w:suppressAutoHyphens w:val="0"/>
        <w:autoSpaceDN/>
        <w:spacing w:after="0" w:line="240" w:lineRule="auto"/>
        <w:jc w:val="both"/>
        <w:textAlignment w:val="center"/>
        <w:rPr>
          <w:rFonts w:asciiTheme="minorHAnsi" w:eastAsia="Times New Roman" w:hAnsiTheme="minorHAnsi" w:cs="Calibri"/>
          <w:b/>
          <w:bCs/>
          <w:lang w:eastAsia="en-GB"/>
        </w:rPr>
      </w:pPr>
      <w:r w:rsidRPr="002A5735">
        <w:rPr>
          <w:rFonts w:asciiTheme="minorHAnsi" w:eastAsia="Times New Roman" w:hAnsiTheme="minorHAnsi" w:cs="Calibri"/>
          <w:b/>
          <w:bCs/>
          <w:lang w:eastAsia="en-GB"/>
        </w:rPr>
        <w:t>Leveraged ETPs on FAANG indices</w:t>
      </w:r>
    </w:p>
    <w:p w14:paraId="4D278362" w14:textId="77777777" w:rsidR="0037662B" w:rsidRPr="002A5735" w:rsidRDefault="0037662B" w:rsidP="0037662B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Theme="minorHAnsi" w:hAnsiTheme="minorHAnsi" w:cs="Calibri"/>
          <w:b/>
          <w:bCs/>
          <w:lang w:eastAsia="en-GB"/>
        </w:rPr>
      </w:pPr>
    </w:p>
    <w:tbl>
      <w:tblPr>
        <w:tblW w:w="6030" w:type="dxa"/>
        <w:tblInd w:w="1340" w:type="dxa"/>
        <w:tblLook w:val="04A0" w:firstRow="1" w:lastRow="0" w:firstColumn="1" w:lastColumn="0" w:noHBand="0" w:noVBand="1"/>
      </w:tblPr>
      <w:tblGrid>
        <w:gridCol w:w="1220"/>
        <w:gridCol w:w="1570"/>
        <w:gridCol w:w="1530"/>
        <w:gridCol w:w="1710"/>
      </w:tblGrid>
      <w:tr w:rsidR="0037662B" w:rsidRPr="002A5735" w14:paraId="72A2F99B" w14:textId="77777777" w:rsidTr="004C25FE">
        <w:trPr>
          <w:trHeight w:val="61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82B27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Underlying Index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C6E3C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+3x Long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D990A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-3x Short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4D2AD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-1x Short</w:t>
            </w:r>
          </w:p>
        </w:tc>
      </w:tr>
      <w:tr w:rsidR="0037662B" w:rsidRPr="002A5735" w14:paraId="200D12EE" w14:textId="77777777" w:rsidTr="004C25F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A970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color w:val="000000"/>
              </w:rPr>
              <w:t>FAANG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30E2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1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3FNG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B5068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2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3SFG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5477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3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SFNG</w:t>
              </w:r>
            </w:hyperlink>
          </w:p>
        </w:tc>
      </w:tr>
      <w:tr w:rsidR="0037662B" w:rsidRPr="002A5735" w14:paraId="22DB5BE8" w14:textId="77777777" w:rsidTr="004C25F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F9B2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color w:val="000000"/>
              </w:rPr>
              <w:t>GAFAM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6F535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4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3GFM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E065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5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3SGF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2837F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6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SGFM</w:t>
              </w:r>
            </w:hyperlink>
          </w:p>
        </w:tc>
      </w:tr>
      <w:tr w:rsidR="0037662B" w:rsidRPr="002A5735" w14:paraId="485124C0" w14:textId="77777777" w:rsidTr="004C25F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192AB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2A5735">
              <w:rPr>
                <w:rFonts w:asciiTheme="minorHAnsi" w:eastAsia="Times New Roman" w:hAnsiTheme="minorHAnsi" w:cs="Calibri"/>
                <w:color w:val="000000"/>
              </w:rPr>
              <w:t>FATANG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49D96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7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3FTG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59CF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8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3SFT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83DA1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hyperlink r:id="rId19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SFTG</w:t>
              </w:r>
            </w:hyperlink>
          </w:p>
        </w:tc>
      </w:tr>
    </w:tbl>
    <w:p w14:paraId="6BFBBCBA" w14:textId="77777777" w:rsidR="0037662B" w:rsidRPr="002A5735" w:rsidRDefault="0037662B" w:rsidP="0037662B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Theme="minorHAnsi" w:hAnsiTheme="minorHAnsi" w:cs="Calibri"/>
          <w:b/>
          <w:bCs/>
          <w:lang w:eastAsia="en-GB"/>
        </w:rPr>
      </w:pPr>
    </w:p>
    <w:p w14:paraId="338429C0" w14:textId="77777777" w:rsidR="0037662B" w:rsidRPr="002A5735" w:rsidRDefault="0037662B" w:rsidP="0037662B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2A5735">
        <w:rPr>
          <w:rFonts w:asciiTheme="minorHAnsi" w:eastAsiaTheme="minorHAnsi" w:hAnsiTheme="minorHAnsi" w:cs="Calibri"/>
          <w:b/>
          <w:bCs/>
          <w:lang w:eastAsia="en-GB"/>
        </w:rPr>
        <w:t>UK Leveraged Single Stock ETPs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</w:tblGrid>
      <w:tr w:rsidR="0037662B" w:rsidRPr="002A5735" w14:paraId="15A7BE21" w14:textId="77777777" w:rsidTr="004C25FE">
        <w:tc>
          <w:tcPr>
            <w:tcW w:w="2689" w:type="dxa"/>
          </w:tcPr>
          <w:p w14:paraId="70428017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b/>
                <w:bCs/>
                <w:lang w:eastAsia="en-GB"/>
              </w:rPr>
              <w:t>Underlying stock</w:t>
            </w:r>
          </w:p>
        </w:tc>
        <w:tc>
          <w:tcPr>
            <w:tcW w:w="1701" w:type="dxa"/>
          </w:tcPr>
          <w:p w14:paraId="4238EE49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b/>
                <w:bCs/>
                <w:lang w:eastAsia="en-GB"/>
              </w:rPr>
              <w:t>+3x Long</w:t>
            </w:r>
          </w:p>
        </w:tc>
        <w:tc>
          <w:tcPr>
            <w:tcW w:w="1701" w:type="dxa"/>
          </w:tcPr>
          <w:p w14:paraId="1D1A5125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b/>
                <w:bCs/>
                <w:lang w:eastAsia="en-GB"/>
              </w:rPr>
              <w:t>-3x Short</w:t>
            </w:r>
          </w:p>
        </w:tc>
      </w:tr>
      <w:tr w:rsidR="0037662B" w:rsidRPr="002A5735" w14:paraId="09EFA539" w14:textId="77777777" w:rsidTr="004C25FE">
        <w:tc>
          <w:tcPr>
            <w:tcW w:w="2689" w:type="dxa"/>
          </w:tcPr>
          <w:p w14:paraId="5F35A89D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AstraZeneca</w:t>
            </w:r>
          </w:p>
        </w:tc>
        <w:tc>
          <w:tcPr>
            <w:tcW w:w="1701" w:type="dxa"/>
          </w:tcPr>
          <w:p w14:paraId="28928AD2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0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3LAZ</w:t>
              </w:r>
            </w:hyperlink>
          </w:p>
        </w:tc>
        <w:tc>
          <w:tcPr>
            <w:tcW w:w="1701" w:type="dxa"/>
          </w:tcPr>
          <w:p w14:paraId="18E45077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1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3SAZ</w:t>
              </w:r>
            </w:hyperlink>
          </w:p>
        </w:tc>
      </w:tr>
      <w:tr w:rsidR="0037662B" w:rsidRPr="002A5735" w14:paraId="5F6D4C2A" w14:textId="77777777" w:rsidTr="004C25FE">
        <w:tc>
          <w:tcPr>
            <w:tcW w:w="2689" w:type="dxa"/>
          </w:tcPr>
          <w:p w14:paraId="49A233D4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BAE Systems</w:t>
            </w:r>
          </w:p>
        </w:tc>
        <w:tc>
          <w:tcPr>
            <w:tcW w:w="1701" w:type="dxa"/>
          </w:tcPr>
          <w:p w14:paraId="6EAB27BA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2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3LBA</w:t>
              </w:r>
            </w:hyperlink>
          </w:p>
        </w:tc>
        <w:tc>
          <w:tcPr>
            <w:tcW w:w="1701" w:type="dxa"/>
          </w:tcPr>
          <w:p w14:paraId="371FF100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3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3SBA</w:t>
              </w:r>
            </w:hyperlink>
          </w:p>
        </w:tc>
      </w:tr>
      <w:tr w:rsidR="0037662B" w:rsidRPr="002A5735" w14:paraId="43BD25BC" w14:textId="77777777" w:rsidTr="004C25FE">
        <w:tc>
          <w:tcPr>
            <w:tcW w:w="2689" w:type="dxa"/>
          </w:tcPr>
          <w:p w14:paraId="7F0FC5D0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Barclays</w:t>
            </w:r>
          </w:p>
        </w:tc>
        <w:tc>
          <w:tcPr>
            <w:tcW w:w="1701" w:type="dxa"/>
          </w:tcPr>
          <w:p w14:paraId="1B24C59C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4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3LBC</w:t>
              </w:r>
            </w:hyperlink>
          </w:p>
        </w:tc>
        <w:tc>
          <w:tcPr>
            <w:tcW w:w="1701" w:type="dxa"/>
          </w:tcPr>
          <w:p w14:paraId="6CBDADB0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5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3SBC</w:t>
              </w:r>
            </w:hyperlink>
          </w:p>
        </w:tc>
      </w:tr>
      <w:tr w:rsidR="0037662B" w:rsidRPr="002A5735" w14:paraId="71938C97" w14:textId="77777777" w:rsidTr="004C25FE">
        <w:tc>
          <w:tcPr>
            <w:tcW w:w="2689" w:type="dxa"/>
          </w:tcPr>
          <w:p w14:paraId="4A5D6D3F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BP</w:t>
            </w:r>
          </w:p>
        </w:tc>
        <w:tc>
          <w:tcPr>
            <w:tcW w:w="1701" w:type="dxa"/>
          </w:tcPr>
          <w:p w14:paraId="7D34DC74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6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3LBP</w:t>
              </w:r>
            </w:hyperlink>
          </w:p>
        </w:tc>
        <w:tc>
          <w:tcPr>
            <w:tcW w:w="1701" w:type="dxa"/>
          </w:tcPr>
          <w:p w14:paraId="6FFA54C9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7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3SBP</w:t>
              </w:r>
            </w:hyperlink>
          </w:p>
        </w:tc>
      </w:tr>
      <w:tr w:rsidR="0037662B" w:rsidRPr="002A5735" w14:paraId="3BFD27E4" w14:textId="77777777" w:rsidTr="004C25FE">
        <w:tc>
          <w:tcPr>
            <w:tcW w:w="2689" w:type="dxa"/>
          </w:tcPr>
          <w:p w14:paraId="44857A83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Diageo</w:t>
            </w:r>
          </w:p>
        </w:tc>
        <w:tc>
          <w:tcPr>
            <w:tcW w:w="1701" w:type="dxa"/>
          </w:tcPr>
          <w:p w14:paraId="4FB9BE98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8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3LDO</w:t>
              </w:r>
            </w:hyperlink>
          </w:p>
        </w:tc>
        <w:tc>
          <w:tcPr>
            <w:tcW w:w="1701" w:type="dxa"/>
          </w:tcPr>
          <w:p w14:paraId="23D1A03E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29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3SDO</w:t>
              </w:r>
            </w:hyperlink>
          </w:p>
        </w:tc>
      </w:tr>
      <w:tr w:rsidR="0037662B" w:rsidRPr="002A5735" w14:paraId="1BFDB947" w14:textId="77777777" w:rsidTr="004C25FE">
        <w:tc>
          <w:tcPr>
            <w:tcW w:w="2689" w:type="dxa"/>
          </w:tcPr>
          <w:p w14:paraId="79F02699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Glencore</w:t>
            </w:r>
          </w:p>
        </w:tc>
        <w:tc>
          <w:tcPr>
            <w:tcW w:w="1701" w:type="dxa"/>
          </w:tcPr>
          <w:p w14:paraId="0D05B472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0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3LGL</w:t>
              </w:r>
            </w:hyperlink>
          </w:p>
        </w:tc>
        <w:tc>
          <w:tcPr>
            <w:tcW w:w="1701" w:type="dxa"/>
          </w:tcPr>
          <w:p w14:paraId="2EE82C71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1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3SGL</w:t>
              </w:r>
            </w:hyperlink>
          </w:p>
        </w:tc>
      </w:tr>
      <w:tr w:rsidR="0037662B" w:rsidRPr="002A5735" w14:paraId="7FDD2262" w14:textId="77777777" w:rsidTr="004C25FE">
        <w:tc>
          <w:tcPr>
            <w:tcW w:w="2689" w:type="dxa"/>
          </w:tcPr>
          <w:p w14:paraId="6FB9A48B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Lloyds Banking Group</w:t>
            </w:r>
          </w:p>
        </w:tc>
        <w:tc>
          <w:tcPr>
            <w:tcW w:w="1701" w:type="dxa"/>
          </w:tcPr>
          <w:p w14:paraId="3FEA5AD6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2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3LLL</w:t>
              </w:r>
            </w:hyperlink>
          </w:p>
        </w:tc>
        <w:tc>
          <w:tcPr>
            <w:tcW w:w="1701" w:type="dxa"/>
          </w:tcPr>
          <w:p w14:paraId="1CABA4C7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3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3SLL</w:t>
              </w:r>
            </w:hyperlink>
          </w:p>
        </w:tc>
      </w:tr>
      <w:tr w:rsidR="0037662B" w:rsidRPr="002A5735" w14:paraId="74DBC4DA" w14:textId="77777777" w:rsidTr="004C25FE">
        <w:tc>
          <w:tcPr>
            <w:tcW w:w="2689" w:type="dxa"/>
          </w:tcPr>
          <w:p w14:paraId="617CFD5D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Rio Tinto</w:t>
            </w:r>
          </w:p>
        </w:tc>
        <w:tc>
          <w:tcPr>
            <w:tcW w:w="1701" w:type="dxa"/>
          </w:tcPr>
          <w:p w14:paraId="1310CB0E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4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3LRI</w:t>
              </w:r>
            </w:hyperlink>
          </w:p>
        </w:tc>
        <w:tc>
          <w:tcPr>
            <w:tcW w:w="1701" w:type="dxa"/>
          </w:tcPr>
          <w:p w14:paraId="064A8BA4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5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3SRI</w:t>
              </w:r>
            </w:hyperlink>
          </w:p>
        </w:tc>
      </w:tr>
      <w:tr w:rsidR="0037662B" w:rsidRPr="002A5735" w14:paraId="7FB00027" w14:textId="77777777" w:rsidTr="004C25FE">
        <w:tc>
          <w:tcPr>
            <w:tcW w:w="2689" w:type="dxa"/>
          </w:tcPr>
          <w:p w14:paraId="2E1BDAD4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Royal Dutch Shell</w:t>
            </w:r>
          </w:p>
        </w:tc>
        <w:bookmarkStart w:id="1" w:name="_Hlk83721731"/>
        <w:tc>
          <w:tcPr>
            <w:tcW w:w="1701" w:type="dxa"/>
          </w:tcPr>
          <w:p w14:paraId="7DA6C5C3" w14:textId="77777777" w:rsidR="0037662B" w:rsidRPr="002A5735" w:rsidRDefault="0037662B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Calibri" w:cs="Times New Roman"/>
              </w:rPr>
              <w:fldChar w:fldCharType="begin"/>
            </w:r>
            <w:r w:rsidRPr="002A5735">
              <w:instrText xml:space="preserve"> HYPERLINK "https://graniteshares.com/institutional/uk/en-uk/etps/3lrd" </w:instrText>
            </w:r>
            <w:r w:rsidRPr="002A5735">
              <w:rPr>
                <w:rFonts w:eastAsia="Calibri" w:cs="Times New Roman"/>
              </w:rPr>
              <w:fldChar w:fldCharType="separate"/>
            </w:r>
            <w:r w:rsidRPr="002A5735">
              <w:rPr>
                <w:rFonts w:eastAsia="Times New Roman" w:cs="Calibri"/>
                <w:color w:val="0563C1" w:themeColor="hyperlink"/>
                <w:u w:val="single"/>
                <w:lang w:eastAsia="en-GB"/>
              </w:rPr>
              <w:t>3LRD</w:t>
            </w:r>
            <w:r w:rsidRPr="002A5735">
              <w:rPr>
                <w:rFonts w:eastAsia="Times New Roman" w:cs="Calibri"/>
                <w:color w:val="0563C1" w:themeColor="hyperlink"/>
                <w:u w:val="single"/>
                <w:lang w:eastAsia="en-GB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01FDC660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6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3SRD</w:t>
              </w:r>
            </w:hyperlink>
          </w:p>
        </w:tc>
      </w:tr>
      <w:tr w:rsidR="0037662B" w:rsidRPr="002A5735" w14:paraId="12905BD7" w14:textId="77777777" w:rsidTr="004C25FE">
        <w:tc>
          <w:tcPr>
            <w:tcW w:w="2689" w:type="dxa"/>
          </w:tcPr>
          <w:p w14:paraId="1E02C99D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Rolls-Royce</w:t>
            </w:r>
          </w:p>
        </w:tc>
        <w:tc>
          <w:tcPr>
            <w:tcW w:w="1701" w:type="dxa"/>
          </w:tcPr>
          <w:p w14:paraId="6BFD56BC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7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3LRR</w:t>
              </w:r>
            </w:hyperlink>
          </w:p>
        </w:tc>
        <w:tc>
          <w:tcPr>
            <w:tcW w:w="1701" w:type="dxa"/>
          </w:tcPr>
          <w:p w14:paraId="70F56E2B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8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3SRR</w:t>
              </w:r>
            </w:hyperlink>
          </w:p>
        </w:tc>
      </w:tr>
      <w:tr w:rsidR="0037662B" w:rsidRPr="002A5735" w14:paraId="6CA4AC1F" w14:textId="77777777" w:rsidTr="004C25FE">
        <w:tc>
          <w:tcPr>
            <w:tcW w:w="2689" w:type="dxa"/>
          </w:tcPr>
          <w:p w14:paraId="471FF017" w14:textId="77777777" w:rsidR="0037662B" w:rsidRPr="002A5735" w:rsidRDefault="0037662B" w:rsidP="004C25FE">
            <w:pPr>
              <w:suppressAutoHyphens w:val="0"/>
              <w:jc w:val="both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2A5735">
              <w:rPr>
                <w:rFonts w:eastAsia="Times New Roman" w:cs="Calibri"/>
                <w:lang w:eastAsia="en-GB"/>
              </w:rPr>
              <w:t>Vodafone</w:t>
            </w:r>
          </w:p>
        </w:tc>
        <w:tc>
          <w:tcPr>
            <w:tcW w:w="1701" w:type="dxa"/>
          </w:tcPr>
          <w:p w14:paraId="2F4A89E8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39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3LVO</w:t>
              </w:r>
            </w:hyperlink>
          </w:p>
        </w:tc>
        <w:tc>
          <w:tcPr>
            <w:tcW w:w="1701" w:type="dxa"/>
          </w:tcPr>
          <w:p w14:paraId="5999642B" w14:textId="77777777" w:rsidR="0037662B" w:rsidRPr="002A5735" w:rsidRDefault="00000000" w:rsidP="004C25FE">
            <w:pPr>
              <w:suppressAutoHyphens w:val="0"/>
              <w:jc w:val="center"/>
              <w:textAlignment w:val="center"/>
              <w:rPr>
                <w:rFonts w:eastAsia="Times New Roman" w:cstheme="minorHAnsi"/>
                <w:color w:val="333333"/>
                <w:lang w:eastAsia="en-GB"/>
              </w:rPr>
            </w:pPr>
            <w:hyperlink r:id="rId40" w:history="1">
              <w:r w:rsidR="0037662B" w:rsidRPr="002A5735">
                <w:rPr>
                  <w:rFonts w:eastAsia="Times New Roman" w:cs="Calibri"/>
                  <w:color w:val="0563C1" w:themeColor="hyperlink"/>
                  <w:u w:val="single"/>
                  <w:lang w:eastAsia="en-GB"/>
                </w:rPr>
                <w:t>3SVO</w:t>
              </w:r>
            </w:hyperlink>
          </w:p>
        </w:tc>
      </w:tr>
    </w:tbl>
    <w:p w14:paraId="046C0DB0" w14:textId="77777777" w:rsidR="0037662B" w:rsidRPr="002A5735" w:rsidRDefault="0037662B" w:rsidP="0037662B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Theme="minorHAnsi" w:hAnsiTheme="minorHAnsi" w:cs="Calibri"/>
          <w:b/>
          <w:bCs/>
          <w:lang w:eastAsia="en-GB"/>
        </w:rPr>
      </w:pPr>
    </w:p>
    <w:p w14:paraId="4055C61F" w14:textId="77777777" w:rsidR="0037662B" w:rsidRPr="002A5735" w:rsidRDefault="0037662B" w:rsidP="0037662B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2A5735">
        <w:rPr>
          <w:rFonts w:asciiTheme="minorHAnsi" w:eastAsiaTheme="minorHAnsi" w:hAnsiTheme="minorHAnsi" w:cs="Calibri"/>
          <w:b/>
          <w:bCs/>
          <w:lang w:eastAsia="en-GB"/>
        </w:rPr>
        <w:t>US Leveraged Single Stock ETPs</w:t>
      </w:r>
    </w:p>
    <w:tbl>
      <w:tblPr>
        <w:tblW w:w="6091" w:type="dxa"/>
        <w:tblInd w:w="1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980"/>
        <w:gridCol w:w="2057"/>
      </w:tblGrid>
      <w:tr w:rsidR="0037662B" w:rsidRPr="002A5735" w14:paraId="31182C3E" w14:textId="77777777" w:rsidTr="004C25FE">
        <w:trPr>
          <w:trHeight w:val="28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5B0B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b/>
                <w:bCs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</w:rPr>
              <w:t>Underlying stock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8F4A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</w:rPr>
              <w:t>+3x Long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B8A2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</w:rPr>
            </w:pPr>
            <w:r w:rsidRPr="002A5735">
              <w:rPr>
                <w:rFonts w:asciiTheme="minorHAnsi" w:eastAsia="Times New Roman" w:hAnsiTheme="minorHAnsi" w:cs="Calibri"/>
                <w:b/>
                <w:bCs/>
              </w:rPr>
              <w:t>-3x Short</w:t>
            </w:r>
          </w:p>
        </w:tc>
      </w:tr>
      <w:tr w:rsidR="0037662B" w:rsidRPr="002A5735" w14:paraId="3424AC59" w14:textId="77777777" w:rsidTr="004C25FE">
        <w:trPr>
          <w:trHeight w:val="96"/>
        </w:trPr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1713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Alphabet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F17E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1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3LAL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5474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2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3SAL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37D97CCF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B3BC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Amazon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898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3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3LZN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FE74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4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3SZN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37B95D3B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F4C8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Apple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5F7D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5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3LAP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3F83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6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3SAP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1E5B329A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75B3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Facebook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48FE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7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3LFB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0082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8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3SFB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01BB9AD8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A57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Microsoft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9E84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49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3LMS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0FA9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0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3SMS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73B0297C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F8C8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Netflix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DFDB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1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3LNF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C52C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2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3SNF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28C87025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6798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NIO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FB47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3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3LNI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8A16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4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3SNI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4F2E9350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028D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NVIDIA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9D29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5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3LNV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01BE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6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3SNV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52F34589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543B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Tesla</w:t>
            </w:r>
          </w:p>
        </w:tc>
        <w:bookmarkStart w:id="2" w:name="_Hlk125644979"/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320D" w14:textId="77777777" w:rsidR="0037662B" w:rsidRPr="002A5735" w:rsidRDefault="00823C2D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r>
              <w:fldChar w:fldCharType="begin"/>
            </w:r>
            <w:r>
              <w:instrText>HYPERLINK "https://graniteshares.com/institutional/uk/en-uk/etps/3lts"</w:instrText>
            </w:r>
            <w:r>
              <w:fldChar w:fldCharType="separate"/>
            </w:r>
            <w:r w:rsidR="0037662B" w:rsidRPr="002A5735">
              <w:rPr>
                <w:rFonts w:asciiTheme="minorHAnsi" w:eastAsia="Times New Roman" w:hAnsiTheme="minorHAnsi" w:cs="Calibri"/>
                <w:color w:val="0563C1" w:themeColor="hyperlink"/>
                <w:u w:val="single"/>
              </w:rPr>
              <w:t>3LTS</w:t>
            </w:r>
            <w:r>
              <w:rPr>
                <w:rFonts w:asciiTheme="minorHAnsi" w:eastAsia="Times New Roman" w:hAnsiTheme="minorHAnsi" w:cs="Calibri"/>
                <w:color w:val="0563C1" w:themeColor="hyperlink"/>
                <w:u w:val="single"/>
              </w:rPr>
              <w:fldChar w:fldCharType="end"/>
            </w:r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  <w:bookmarkEnd w:id="2"/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F5AA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7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3STS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37662B" w:rsidRPr="002A5735" w14:paraId="435CD571" w14:textId="77777777" w:rsidTr="004C25FE"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7D3F" w14:textId="77777777" w:rsidR="0037662B" w:rsidRPr="002A5735" w:rsidRDefault="0037662B" w:rsidP="004C25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</w:rPr>
            </w:pPr>
            <w:r w:rsidRPr="002A5735">
              <w:rPr>
                <w:rFonts w:asciiTheme="minorHAnsi" w:eastAsia="Times New Roman" w:hAnsiTheme="minorHAnsi" w:cs="Calibri"/>
              </w:rPr>
              <w:t>Uber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C9FB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8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3LUB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D5" w14:textId="77777777" w:rsidR="0037662B" w:rsidRPr="002A5735" w:rsidRDefault="00000000" w:rsidP="004C25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Calibri"/>
              </w:rPr>
            </w:pPr>
            <w:hyperlink r:id="rId59" w:history="1">
              <w:r w:rsidR="0037662B" w:rsidRPr="002A5735">
                <w:rPr>
                  <w:rFonts w:asciiTheme="minorHAnsi" w:eastAsia="Times New Roman" w:hAnsiTheme="minorHAnsi" w:cs="Calibri"/>
                  <w:color w:val="0563C1" w:themeColor="hyperlink"/>
                  <w:u w:val="single"/>
                </w:rPr>
                <w:t>3SUB</w:t>
              </w:r>
            </w:hyperlink>
            <w:r w:rsidR="0037662B" w:rsidRPr="002A5735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</w:tbl>
    <w:p w14:paraId="5B751A74" w14:textId="77777777" w:rsidR="0037662B" w:rsidRPr="002A5735" w:rsidRDefault="0037662B" w:rsidP="0037662B">
      <w:pPr>
        <w:suppressAutoHyphens w:val="0"/>
        <w:autoSpaceDN/>
        <w:spacing w:after="0" w:line="240" w:lineRule="auto"/>
        <w:ind w:left="1440"/>
        <w:jc w:val="both"/>
        <w:textAlignment w:val="auto"/>
        <w:rPr>
          <w:rFonts w:asciiTheme="minorHAnsi" w:eastAsia="Times New Roman" w:hAnsiTheme="minorHAnsi" w:cs="Calibri"/>
          <w:b/>
          <w:bCs/>
        </w:rPr>
      </w:pPr>
    </w:p>
    <w:p w14:paraId="3684BC24" w14:textId="77777777" w:rsidR="0037662B" w:rsidRPr="002A5735" w:rsidRDefault="0037662B" w:rsidP="0037662B">
      <w:pPr>
        <w:suppressAutoHyphens w:val="0"/>
        <w:autoSpaceDN/>
        <w:spacing w:after="0" w:line="240" w:lineRule="auto"/>
        <w:ind w:left="1440"/>
        <w:jc w:val="both"/>
        <w:textAlignment w:val="auto"/>
        <w:rPr>
          <w:rFonts w:asciiTheme="minorHAnsi" w:eastAsia="Times New Roman" w:hAnsiTheme="minorHAnsi" w:cs="Calibri"/>
          <w:b/>
          <w:bCs/>
        </w:rPr>
      </w:pPr>
    </w:p>
    <w:p w14:paraId="1D328F6A" w14:textId="77777777" w:rsidR="0037662B" w:rsidRPr="00E348E8" w:rsidRDefault="0037662B" w:rsidP="0037662B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="Calibri"/>
          <w:b/>
        </w:rPr>
      </w:pPr>
      <w:r w:rsidRPr="00E348E8">
        <w:rPr>
          <w:rFonts w:asciiTheme="minorHAnsi" w:eastAsiaTheme="minorHAnsi" w:hAnsiTheme="minorHAnsi" w:cs="Calibri"/>
          <w:b/>
        </w:rPr>
        <w:t>Capital at risk</w:t>
      </w:r>
    </w:p>
    <w:p w14:paraId="37B4A349" w14:textId="77777777" w:rsidR="0037662B" w:rsidRPr="00E348E8" w:rsidRDefault="0037662B" w:rsidP="0037662B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="Calibri"/>
          <w:b/>
        </w:rPr>
      </w:pPr>
      <w:bookmarkStart w:id="3" w:name="_Hlk103852088"/>
      <w:r w:rsidRPr="00E348E8">
        <w:rPr>
          <w:rFonts w:asciiTheme="minorHAnsi" w:eastAsiaTheme="minorHAnsi" w:hAnsiTheme="minorHAnsi" w:cs="Calibri"/>
          <w:b/>
        </w:rPr>
        <w:t>GraniteShares ETP’s are only suitable for professional investors.</w:t>
      </w:r>
    </w:p>
    <w:bookmarkEnd w:id="3"/>
    <w:p w14:paraId="78490E41" w14:textId="77777777" w:rsidR="002A5735" w:rsidRDefault="002A5735" w:rsidP="002A5735">
      <w:pPr>
        <w:suppressAutoHyphens w:val="0"/>
        <w:autoSpaceDN/>
        <w:spacing w:after="0" w:line="360" w:lineRule="auto"/>
        <w:textAlignment w:val="auto"/>
        <w:rPr>
          <w:rFonts w:asciiTheme="minorHAnsi" w:eastAsiaTheme="minorHAnsi" w:hAnsiTheme="minorHAnsi" w:cstheme="minorHAnsi"/>
          <w:b/>
        </w:rPr>
      </w:pPr>
      <w:r w:rsidRPr="002A5735">
        <w:rPr>
          <w:rFonts w:asciiTheme="minorHAnsi" w:eastAsiaTheme="minorHAnsi" w:hAnsiTheme="minorHAnsi" w:cstheme="minorHAnsi"/>
          <w:b/>
        </w:rPr>
        <w:t>Notes to editors:</w:t>
      </w:r>
    </w:p>
    <w:p w14:paraId="38611BAB" w14:textId="46A1D771" w:rsidR="00DE3BB9" w:rsidRPr="002D189D" w:rsidRDefault="00DE3BB9" w:rsidP="00DE3BB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t xml:space="preserve">* </w:t>
      </w:r>
      <w:r w:rsidRPr="002D189D">
        <w:rPr>
          <w:rFonts w:cstheme="minorHAnsi"/>
          <w:bCs/>
          <w:sz w:val="20"/>
          <w:szCs w:val="20"/>
        </w:rPr>
        <w:t xml:space="preserve">Study conducted by independent research company </w:t>
      </w:r>
      <w:r>
        <w:rPr>
          <w:rFonts w:cstheme="minorHAnsi"/>
          <w:bCs/>
          <w:sz w:val="20"/>
          <w:szCs w:val="20"/>
        </w:rPr>
        <w:t>Viewsbank</w:t>
      </w:r>
      <w:r w:rsidRPr="002D189D">
        <w:rPr>
          <w:rFonts w:cstheme="minorHAnsi"/>
          <w:bCs/>
          <w:sz w:val="20"/>
          <w:szCs w:val="20"/>
        </w:rPr>
        <w:t xml:space="preserve"> among 1,078 UK adults between November 25</w:t>
      </w:r>
      <w:r w:rsidRPr="002D189D">
        <w:rPr>
          <w:rFonts w:cstheme="minorHAnsi"/>
          <w:bCs/>
          <w:sz w:val="20"/>
          <w:szCs w:val="20"/>
          <w:vertAlign w:val="superscript"/>
        </w:rPr>
        <w:t>th</w:t>
      </w:r>
      <w:r w:rsidRPr="002D189D">
        <w:rPr>
          <w:rFonts w:cstheme="minorHAnsi"/>
          <w:bCs/>
          <w:sz w:val="20"/>
          <w:szCs w:val="20"/>
        </w:rPr>
        <w:t xml:space="preserve"> and 28</w:t>
      </w:r>
      <w:r w:rsidRPr="002D189D">
        <w:rPr>
          <w:rFonts w:cstheme="minorHAnsi"/>
          <w:bCs/>
          <w:sz w:val="20"/>
          <w:szCs w:val="20"/>
          <w:vertAlign w:val="superscript"/>
        </w:rPr>
        <w:t>th</w:t>
      </w:r>
      <w:r w:rsidRPr="002D189D">
        <w:rPr>
          <w:rFonts w:cstheme="minorHAnsi"/>
          <w:bCs/>
          <w:sz w:val="20"/>
          <w:szCs w:val="20"/>
        </w:rPr>
        <w:t xml:space="preserve"> 2022 using an online methodology</w:t>
      </w:r>
    </w:p>
    <w:p w14:paraId="35D5917D" w14:textId="77777777" w:rsidR="00DE3BB9" w:rsidRDefault="00DE3BB9" w:rsidP="001C1ED7">
      <w:pPr>
        <w:suppressAutoHyphens w:val="0"/>
        <w:autoSpaceDN/>
        <w:spacing w:after="0" w:line="360" w:lineRule="auto"/>
        <w:textAlignment w:val="auto"/>
        <w:rPr>
          <w:rFonts w:cs="Calibri"/>
          <w:vertAlign w:val="superscript"/>
        </w:rPr>
      </w:pPr>
    </w:p>
    <w:p w14:paraId="25B4B911" w14:textId="2511C594" w:rsidR="002A5735" w:rsidRPr="002A5735" w:rsidRDefault="0037662B" w:rsidP="001C1ED7">
      <w:pPr>
        <w:suppressAutoHyphens w:val="0"/>
        <w:autoSpaceDN/>
        <w:spacing w:after="0" w:line="360" w:lineRule="auto"/>
        <w:textAlignment w:val="auto"/>
        <w:rPr>
          <w:rFonts w:eastAsia="Times New Roman" w:cs="Calibri"/>
          <w:color w:val="000000"/>
        </w:rPr>
      </w:pPr>
      <w:r>
        <w:rPr>
          <w:rFonts w:cs="Calibri"/>
          <w:vertAlign w:val="superscript"/>
        </w:rPr>
        <w:t xml:space="preserve"> </w:t>
      </w:r>
      <w:r w:rsidR="002A5735" w:rsidRPr="002A5735">
        <w:rPr>
          <w:rFonts w:eastAsia="Times New Roman" w:cs="Calibri"/>
          <w:color w:val="000000"/>
        </w:rPr>
        <w:t>For further information please call Phil Anderson at Perception A on 07767 491 519 / 07983 335 021.</w:t>
      </w:r>
    </w:p>
    <w:p w14:paraId="212C98EB" w14:textId="77777777" w:rsidR="002A5735" w:rsidRPr="002A5735" w:rsidRDefault="002A5735" w:rsidP="002A5735">
      <w:pPr>
        <w:spacing w:after="60" w:line="240" w:lineRule="auto"/>
        <w:jc w:val="both"/>
        <w:rPr>
          <w:rFonts w:eastAsia="Times New Roman" w:cs="Calibri"/>
          <w:b/>
          <w:bCs/>
          <w:color w:val="000000"/>
        </w:rPr>
      </w:pPr>
      <w:r w:rsidRPr="002A5735">
        <w:rPr>
          <w:rFonts w:eastAsia="Times New Roman" w:cs="Calibri"/>
          <w:b/>
          <w:bCs/>
          <w:color w:val="000000"/>
        </w:rPr>
        <w:t>GraniteShares: A brief history</w:t>
      </w:r>
    </w:p>
    <w:p w14:paraId="46F33DBF" w14:textId="410211CC" w:rsidR="002A5735" w:rsidRPr="002A5735" w:rsidRDefault="002A5735" w:rsidP="002A5735">
      <w:pPr>
        <w:spacing w:after="240" w:line="240" w:lineRule="auto"/>
        <w:jc w:val="both"/>
        <w:rPr>
          <w:rFonts w:eastAsia="Times New Roman" w:cs="Calibri"/>
          <w:color w:val="000000"/>
        </w:rPr>
      </w:pPr>
      <w:r w:rsidRPr="002A5735">
        <w:rPr>
          <w:rFonts w:eastAsia="Times New Roman" w:cs="Calibri"/>
          <w:color w:val="000000"/>
        </w:rPr>
        <w:t xml:space="preserve">GraniteShares is an entrepreneurial ETP provider focused on providing professional investors with innovative, cutting-edge investment solutions. We believe the future of investing lies at the nexus of alternative thinking, low fees, and disruptive product structures—the core of our high conviction philosophy. </w:t>
      </w:r>
    </w:p>
    <w:p w14:paraId="0411D888" w14:textId="7D5BDAD8" w:rsidR="00B77E94" w:rsidRPr="00A3554F" w:rsidRDefault="00B77E94" w:rsidP="00B77E94">
      <w:pPr>
        <w:rPr>
          <w:rFonts w:eastAsia="Times New Roman" w:cs="Calibri"/>
          <w:color w:val="000000"/>
        </w:rPr>
      </w:pPr>
      <w:r w:rsidRPr="002A5735">
        <w:rPr>
          <w:rFonts w:eastAsia="Times New Roman" w:cs="Calibri"/>
          <w:color w:val="000000"/>
        </w:rPr>
        <w:t xml:space="preserve">This press release is issued by GraniteShares Limited. </w:t>
      </w:r>
      <w:r w:rsidR="003671BC" w:rsidRPr="00A3554F">
        <w:rPr>
          <w:rFonts w:eastAsia="Times New Roman" w:cs="Calibri"/>
          <w:color w:val="000000"/>
        </w:rPr>
        <w:t>GraniteShares</w:t>
      </w:r>
      <w:r w:rsidRPr="00A3554F">
        <w:rPr>
          <w:rFonts w:eastAsia="Times New Roman" w:cs="Calibri"/>
          <w:color w:val="000000"/>
        </w:rPr>
        <w:t xml:space="preserve"> Limited is an appointed representative of Messels Limited which is authorised and regulated by the Financial Conduct Authority.</w:t>
      </w:r>
    </w:p>
    <w:p w14:paraId="6D1A9D00" w14:textId="77777777" w:rsidR="002A5735" w:rsidRPr="002A5735" w:rsidRDefault="002A5735" w:rsidP="002A5735">
      <w:pPr>
        <w:spacing w:after="240" w:line="240" w:lineRule="auto"/>
        <w:jc w:val="both"/>
        <w:rPr>
          <w:rFonts w:eastAsia="Times New Roman" w:cs="Calibri"/>
          <w:color w:val="000000"/>
        </w:rPr>
      </w:pPr>
      <w:r w:rsidRPr="002A5735">
        <w:rPr>
          <w:rFonts w:eastAsia="Times New Roman" w:cs="Calibri"/>
          <w:color w:val="000000"/>
        </w:rPr>
        <w:t xml:space="preserve">ETPs are issued by GraniteShares Financial PLC, a company incorporated in Ireland. </w:t>
      </w:r>
    </w:p>
    <w:p w14:paraId="3105EAA2" w14:textId="77777777" w:rsidR="002A5735" w:rsidRPr="002A5735" w:rsidRDefault="002A5735" w:rsidP="002A5735">
      <w:pPr>
        <w:suppressAutoHyphens w:val="0"/>
        <w:autoSpaceDN/>
        <w:spacing w:after="60" w:line="240" w:lineRule="auto"/>
        <w:jc w:val="both"/>
        <w:textAlignment w:val="auto"/>
        <w:rPr>
          <w:rFonts w:asciiTheme="minorHAnsi" w:eastAsia="Times New Roman" w:hAnsiTheme="minorHAnsi" w:cs="Calibri"/>
          <w:b/>
          <w:bCs/>
          <w:color w:val="000000"/>
        </w:rPr>
      </w:pPr>
      <w:r w:rsidRPr="002A5735">
        <w:rPr>
          <w:rFonts w:asciiTheme="minorHAnsi" w:eastAsia="Times New Roman" w:hAnsiTheme="minorHAnsi" w:cs="Calibri"/>
          <w:b/>
          <w:bCs/>
          <w:color w:val="000000"/>
        </w:rPr>
        <w:t>Investing in GraniteShares ETPs on U.S. listed stocks</w:t>
      </w:r>
    </w:p>
    <w:p w14:paraId="4B071667" w14:textId="77777777" w:rsidR="002A5735" w:rsidRPr="002A5735" w:rsidRDefault="002A5735" w:rsidP="002A5735">
      <w:pPr>
        <w:suppressAutoHyphens w:val="0"/>
        <w:autoSpaceDN/>
        <w:spacing w:after="120" w:line="240" w:lineRule="auto"/>
        <w:jc w:val="both"/>
        <w:textAlignment w:val="auto"/>
        <w:rPr>
          <w:rFonts w:asciiTheme="minorHAnsi" w:eastAsia="Times New Roman" w:hAnsiTheme="minorHAnsi" w:cs="Calibri"/>
          <w:color w:val="000000"/>
        </w:rPr>
      </w:pPr>
      <w:r w:rsidRPr="002A5735">
        <w:rPr>
          <w:rFonts w:asciiTheme="minorHAnsi" w:eastAsia="Times New Roman" w:hAnsiTheme="minorHAnsi" w:cs="Calibri"/>
          <w:color w:val="000000"/>
        </w:rPr>
        <w:t>Those trading GraniteShares new US leverage and inverse ETPs will not need to complete a W-8BEN form (US Department of the Treasury, Internal Revenue Service, Certificate of Foreign Status of Beneficial Owner for United States Tax Withholding and Reporting).</w:t>
      </w:r>
    </w:p>
    <w:p w14:paraId="69F3472E" w14:textId="77777777" w:rsidR="002A5735" w:rsidRPr="002A5735" w:rsidRDefault="002A5735" w:rsidP="002A5735">
      <w:pPr>
        <w:suppressAutoHyphens w:val="0"/>
        <w:autoSpaceDN/>
        <w:spacing w:after="120" w:line="240" w:lineRule="auto"/>
        <w:jc w:val="both"/>
        <w:textAlignment w:val="auto"/>
        <w:rPr>
          <w:rFonts w:asciiTheme="minorHAnsi" w:eastAsia="Times New Roman" w:hAnsiTheme="minorHAnsi" w:cs="Calibri"/>
          <w:color w:val="000000"/>
        </w:rPr>
      </w:pPr>
      <w:r w:rsidRPr="002A5735">
        <w:rPr>
          <w:rFonts w:asciiTheme="minorHAnsi" w:eastAsia="Times New Roman" w:hAnsiTheme="minorHAnsi" w:cs="Calibri"/>
          <w:color w:val="000000"/>
        </w:rPr>
        <w:t>The ETPs can be held in self-select ISAs and SIPPs.</w:t>
      </w:r>
    </w:p>
    <w:p w14:paraId="34FEA0C7" w14:textId="77777777" w:rsidR="002A5735" w:rsidRPr="002A5735" w:rsidRDefault="002A5735" w:rsidP="002A5735">
      <w:pPr>
        <w:suppressAutoHyphens w:val="0"/>
        <w:autoSpaceDN/>
        <w:spacing w:after="240" w:line="240" w:lineRule="auto"/>
        <w:jc w:val="both"/>
        <w:textAlignment w:val="auto"/>
        <w:rPr>
          <w:rFonts w:asciiTheme="minorHAnsi" w:eastAsia="Times New Roman" w:hAnsiTheme="minorHAnsi" w:cs="Calibri"/>
          <w:color w:val="000000"/>
        </w:rPr>
      </w:pPr>
      <w:r w:rsidRPr="002A5735">
        <w:rPr>
          <w:rFonts w:asciiTheme="minorHAnsi" w:eastAsia="Times New Roman" w:hAnsiTheme="minorHAnsi" w:cs="Calibri"/>
          <w:color w:val="000000"/>
        </w:rPr>
        <w:t>There is no margin requirement and losses cannot exceed the amount invested.</w:t>
      </w:r>
    </w:p>
    <w:p w14:paraId="6B951112" w14:textId="276ACFCE" w:rsidR="00A0371A" w:rsidRPr="00A0371A" w:rsidRDefault="00A0371A" w:rsidP="002C611C">
      <w:pPr>
        <w:spacing w:line="360" w:lineRule="auto"/>
        <w:rPr>
          <w:color w:val="333333"/>
        </w:rPr>
      </w:pPr>
    </w:p>
    <w:sectPr w:rsidR="00A0371A" w:rsidRPr="00A0371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ED9B" w14:textId="77777777" w:rsidR="00D50114" w:rsidRDefault="00D50114">
      <w:pPr>
        <w:spacing w:after="0" w:line="240" w:lineRule="auto"/>
      </w:pPr>
      <w:r>
        <w:separator/>
      </w:r>
    </w:p>
  </w:endnote>
  <w:endnote w:type="continuationSeparator" w:id="0">
    <w:p w14:paraId="10DCF447" w14:textId="77777777" w:rsidR="00D50114" w:rsidRDefault="00D5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0895" w14:textId="77777777" w:rsidR="00D50114" w:rsidRDefault="00D50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215FE" w14:textId="77777777" w:rsidR="00D50114" w:rsidRDefault="00D5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60C"/>
    <w:multiLevelType w:val="multilevel"/>
    <w:tmpl w:val="862E2B72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131C"/>
    <w:multiLevelType w:val="hybridMultilevel"/>
    <w:tmpl w:val="992804BA"/>
    <w:lvl w:ilvl="0" w:tplc="976C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702">
    <w:abstractNumId w:val="0"/>
  </w:num>
  <w:num w:numId="2" w16cid:durableId="29742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9E"/>
    <w:rsid w:val="0000027C"/>
    <w:rsid w:val="0000605D"/>
    <w:rsid w:val="0001256B"/>
    <w:rsid w:val="000148F8"/>
    <w:rsid w:val="00014C62"/>
    <w:rsid w:val="000157E1"/>
    <w:rsid w:val="00021FDA"/>
    <w:rsid w:val="00030094"/>
    <w:rsid w:val="000327A5"/>
    <w:rsid w:val="00037A26"/>
    <w:rsid w:val="000416CB"/>
    <w:rsid w:val="00050796"/>
    <w:rsid w:val="000525C3"/>
    <w:rsid w:val="00057386"/>
    <w:rsid w:val="00060411"/>
    <w:rsid w:val="00061170"/>
    <w:rsid w:val="0007258F"/>
    <w:rsid w:val="000748D5"/>
    <w:rsid w:val="0007702D"/>
    <w:rsid w:val="00083114"/>
    <w:rsid w:val="0008503D"/>
    <w:rsid w:val="000A3113"/>
    <w:rsid w:val="000A3137"/>
    <w:rsid w:val="000A49E0"/>
    <w:rsid w:val="000A68AE"/>
    <w:rsid w:val="000B0C2B"/>
    <w:rsid w:val="000B1171"/>
    <w:rsid w:val="000C4757"/>
    <w:rsid w:val="000C79E8"/>
    <w:rsid w:val="000D159E"/>
    <w:rsid w:val="000D3E31"/>
    <w:rsid w:val="000E285E"/>
    <w:rsid w:val="000E75E5"/>
    <w:rsid w:val="000F1C79"/>
    <w:rsid w:val="0010301B"/>
    <w:rsid w:val="00104B9F"/>
    <w:rsid w:val="0010575D"/>
    <w:rsid w:val="00106215"/>
    <w:rsid w:val="001079C5"/>
    <w:rsid w:val="001128CE"/>
    <w:rsid w:val="00112D5B"/>
    <w:rsid w:val="00114AF6"/>
    <w:rsid w:val="00116D91"/>
    <w:rsid w:val="001210AF"/>
    <w:rsid w:val="00122B89"/>
    <w:rsid w:val="00124B62"/>
    <w:rsid w:val="00125BC9"/>
    <w:rsid w:val="0012633D"/>
    <w:rsid w:val="00127228"/>
    <w:rsid w:val="0012775F"/>
    <w:rsid w:val="00127760"/>
    <w:rsid w:val="001336AD"/>
    <w:rsid w:val="00133D08"/>
    <w:rsid w:val="0014595A"/>
    <w:rsid w:val="0016007E"/>
    <w:rsid w:val="00162341"/>
    <w:rsid w:val="00163DD7"/>
    <w:rsid w:val="00164CDD"/>
    <w:rsid w:val="00165F43"/>
    <w:rsid w:val="00167A81"/>
    <w:rsid w:val="001709D1"/>
    <w:rsid w:val="0017131E"/>
    <w:rsid w:val="00171B6A"/>
    <w:rsid w:val="00181DC3"/>
    <w:rsid w:val="0019459D"/>
    <w:rsid w:val="001964B8"/>
    <w:rsid w:val="00197D4A"/>
    <w:rsid w:val="001A3C41"/>
    <w:rsid w:val="001A6AD5"/>
    <w:rsid w:val="001C0210"/>
    <w:rsid w:val="001C09D4"/>
    <w:rsid w:val="001C0BCB"/>
    <w:rsid w:val="001C1ED7"/>
    <w:rsid w:val="001C3957"/>
    <w:rsid w:val="001C4DD7"/>
    <w:rsid w:val="001C5403"/>
    <w:rsid w:val="001D6890"/>
    <w:rsid w:val="001E2BC1"/>
    <w:rsid w:val="001E3149"/>
    <w:rsid w:val="001F4D8F"/>
    <w:rsid w:val="002007B7"/>
    <w:rsid w:val="00203C5D"/>
    <w:rsid w:val="00205ACB"/>
    <w:rsid w:val="0020602E"/>
    <w:rsid w:val="00214CA6"/>
    <w:rsid w:val="002202E5"/>
    <w:rsid w:val="00240B4F"/>
    <w:rsid w:val="0024115D"/>
    <w:rsid w:val="00254BCC"/>
    <w:rsid w:val="0025590D"/>
    <w:rsid w:val="00257855"/>
    <w:rsid w:val="00262129"/>
    <w:rsid w:val="002644DA"/>
    <w:rsid w:val="00266E03"/>
    <w:rsid w:val="00273157"/>
    <w:rsid w:val="00273F89"/>
    <w:rsid w:val="00274365"/>
    <w:rsid w:val="00290763"/>
    <w:rsid w:val="002918F3"/>
    <w:rsid w:val="002A5735"/>
    <w:rsid w:val="002B1261"/>
    <w:rsid w:val="002B2800"/>
    <w:rsid w:val="002B70CD"/>
    <w:rsid w:val="002C1AD2"/>
    <w:rsid w:val="002C2177"/>
    <w:rsid w:val="002C611C"/>
    <w:rsid w:val="002C6F67"/>
    <w:rsid w:val="002C733F"/>
    <w:rsid w:val="002D2550"/>
    <w:rsid w:val="002E1E95"/>
    <w:rsid w:val="002E3012"/>
    <w:rsid w:val="002F62DE"/>
    <w:rsid w:val="00301554"/>
    <w:rsid w:val="003018EE"/>
    <w:rsid w:val="003023EE"/>
    <w:rsid w:val="00306944"/>
    <w:rsid w:val="0031267E"/>
    <w:rsid w:val="00313E4A"/>
    <w:rsid w:val="003161E7"/>
    <w:rsid w:val="00317972"/>
    <w:rsid w:val="00320015"/>
    <w:rsid w:val="00322B09"/>
    <w:rsid w:val="00322F85"/>
    <w:rsid w:val="0032402A"/>
    <w:rsid w:val="00330096"/>
    <w:rsid w:val="0033295D"/>
    <w:rsid w:val="00334E27"/>
    <w:rsid w:val="00335B0E"/>
    <w:rsid w:val="003372CC"/>
    <w:rsid w:val="00341BBC"/>
    <w:rsid w:val="00346D0A"/>
    <w:rsid w:val="003520AA"/>
    <w:rsid w:val="00361D71"/>
    <w:rsid w:val="00365546"/>
    <w:rsid w:val="003671BC"/>
    <w:rsid w:val="003732B1"/>
    <w:rsid w:val="00373587"/>
    <w:rsid w:val="00374D7D"/>
    <w:rsid w:val="0037662B"/>
    <w:rsid w:val="003773A4"/>
    <w:rsid w:val="003817E8"/>
    <w:rsid w:val="00396B73"/>
    <w:rsid w:val="003A685E"/>
    <w:rsid w:val="003A7478"/>
    <w:rsid w:val="003B06C4"/>
    <w:rsid w:val="003B32CA"/>
    <w:rsid w:val="003B3D5F"/>
    <w:rsid w:val="003B3F2F"/>
    <w:rsid w:val="003B413E"/>
    <w:rsid w:val="003C0869"/>
    <w:rsid w:val="003C0CAB"/>
    <w:rsid w:val="003C24B4"/>
    <w:rsid w:val="003C3BCC"/>
    <w:rsid w:val="003D296A"/>
    <w:rsid w:val="003D67F3"/>
    <w:rsid w:val="003D6E13"/>
    <w:rsid w:val="003F483E"/>
    <w:rsid w:val="003F5A59"/>
    <w:rsid w:val="00400B20"/>
    <w:rsid w:val="00403329"/>
    <w:rsid w:val="004042FD"/>
    <w:rsid w:val="004055E1"/>
    <w:rsid w:val="00406646"/>
    <w:rsid w:val="004139DF"/>
    <w:rsid w:val="00415EF2"/>
    <w:rsid w:val="004167DA"/>
    <w:rsid w:val="00423665"/>
    <w:rsid w:val="004263AA"/>
    <w:rsid w:val="004363D2"/>
    <w:rsid w:val="00437B44"/>
    <w:rsid w:val="00442037"/>
    <w:rsid w:val="00446278"/>
    <w:rsid w:val="004518D0"/>
    <w:rsid w:val="00454E1B"/>
    <w:rsid w:val="00455A7A"/>
    <w:rsid w:val="004615FA"/>
    <w:rsid w:val="0046734B"/>
    <w:rsid w:val="00467ABC"/>
    <w:rsid w:val="00467E3C"/>
    <w:rsid w:val="00483B4C"/>
    <w:rsid w:val="0048680E"/>
    <w:rsid w:val="004870B7"/>
    <w:rsid w:val="00492890"/>
    <w:rsid w:val="00494DD1"/>
    <w:rsid w:val="004977A2"/>
    <w:rsid w:val="004A4C59"/>
    <w:rsid w:val="004B7167"/>
    <w:rsid w:val="004C7952"/>
    <w:rsid w:val="004D10C9"/>
    <w:rsid w:val="004D15F6"/>
    <w:rsid w:val="004E004E"/>
    <w:rsid w:val="004E30B6"/>
    <w:rsid w:val="004E3A87"/>
    <w:rsid w:val="004F2A7E"/>
    <w:rsid w:val="004F3275"/>
    <w:rsid w:val="005078C6"/>
    <w:rsid w:val="00515D75"/>
    <w:rsid w:val="0052116C"/>
    <w:rsid w:val="00522DBB"/>
    <w:rsid w:val="00530077"/>
    <w:rsid w:val="00531730"/>
    <w:rsid w:val="00533BE8"/>
    <w:rsid w:val="00540577"/>
    <w:rsid w:val="00550B0B"/>
    <w:rsid w:val="005517E5"/>
    <w:rsid w:val="00554BE9"/>
    <w:rsid w:val="00557432"/>
    <w:rsid w:val="005633F3"/>
    <w:rsid w:val="00566045"/>
    <w:rsid w:val="005706C3"/>
    <w:rsid w:val="0057331F"/>
    <w:rsid w:val="0057712A"/>
    <w:rsid w:val="00581B24"/>
    <w:rsid w:val="00581ED8"/>
    <w:rsid w:val="00587F5B"/>
    <w:rsid w:val="00593200"/>
    <w:rsid w:val="00594058"/>
    <w:rsid w:val="00594DAE"/>
    <w:rsid w:val="005A66C4"/>
    <w:rsid w:val="005A6B8C"/>
    <w:rsid w:val="005B30DC"/>
    <w:rsid w:val="005C25E8"/>
    <w:rsid w:val="005C2A62"/>
    <w:rsid w:val="005C2F26"/>
    <w:rsid w:val="005D1C7B"/>
    <w:rsid w:val="005E0364"/>
    <w:rsid w:val="005E1B26"/>
    <w:rsid w:val="005E490B"/>
    <w:rsid w:val="005F2FA7"/>
    <w:rsid w:val="005F4FFE"/>
    <w:rsid w:val="005F65D2"/>
    <w:rsid w:val="006104AF"/>
    <w:rsid w:val="0061248B"/>
    <w:rsid w:val="00615D85"/>
    <w:rsid w:val="0061658D"/>
    <w:rsid w:val="00617946"/>
    <w:rsid w:val="00630EE1"/>
    <w:rsid w:val="00631837"/>
    <w:rsid w:val="00635149"/>
    <w:rsid w:val="006376D9"/>
    <w:rsid w:val="00637ABF"/>
    <w:rsid w:val="00644015"/>
    <w:rsid w:val="006536E7"/>
    <w:rsid w:val="006544F9"/>
    <w:rsid w:val="00656B0F"/>
    <w:rsid w:val="00657661"/>
    <w:rsid w:val="0066016B"/>
    <w:rsid w:val="006656EC"/>
    <w:rsid w:val="006717BA"/>
    <w:rsid w:val="00671A26"/>
    <w:rsid w:val="00673E64"/>
    <w:rsid w:val="006746B0"/>
    <w:rsid w:val="006753A7"/>
    <w:rsid w:val="00675D6B"/>
    <w:rsid w:val="0067633F"/>
    <w:rsid w:val="006915A9"/>
    <w:rsid w:val="006A513D"/>
    <w:rsid w:val="006A5DD9"/>
    <w:rsid w:val="006B1FFF"/>
    <w:rsid w:val="006B5A07"/>
    <w:rsid w:val="006C3578"/>
    <w:rsid w:val="006C56DF"/>
    <w:rsid w:val="006C5D60"/>
    <w:rsid w:val="006C6BEB"/>
    <w:rsid w:val="006D03E9"/>
    <w:rsid w:val="006D4A4F"/>
    <w:rsid w:val="006D7130"/>
    <w:rsid w:val="006F2A50"/>
    <w:rsid w:val="006F2DE3"/>
    <w:rsid w:val="006F4687"/>
    <w:rsid w:val="006F4DBD"/>
    <w:rsid w:val="00701501"/>
    <w:rsid w:val="00704F2D"/>
    <w:rsid w:val="0070595F"/>
    <w:rsid w:val="007060C7"/>
    <w:rsid w:val="0070613D"/>
    <w:rsid w:val="00715AEC"/>
    <w:rsid w:val="00722919"/>
    <w:rsid w:val="00723B02"/>
    <w:rsid w:val="00747664"/>
    <w:rsid w:val="007523C0"/>
    <w:rsid w:val="007531A6"/>
    <w:rsid w:val="007608C6"/>
    <w:rsid w:val="007664AE"/>
    <w:rsid w:val="00770025"/>
    <w:rsid w:val="00770987"/>
    <w:rsid w:val="00772693"/>
    <w:rsid w:val="007758F8"/>
    <w:rsid w:val="00775992"/>
    <w:rsid w:val="00776D70"/>
    <w:rsid w:val="00794CE6"/>
    <w:rsid w:val="007A05E9"/>
    <w:rsid w:val="007A12A4"/>
    <w:rsid w:val="007A2157"/>
    <w:rsid w:val="007A526C"/>
    <w:rsid w:val="007A72F1"/>
    <w:rsid w:val="007A7ECD"/>
    <w:rsid w:val="007B7020"/>
    <w:rsid w:val="007C0C99"/>
    <w:rsid w:val="007D56AE"/>
    <w:rsid w:val="007F23CA"/>
    <w:rsid w:val="008054C5"/>
    <w:rsid w:val="008057A0"/>
    <w:rsid w:val="00822B2C"/>
    <w:rsid w:val="00823C2D"/>
    <w:rsid w:val="00826B5B"/>
    <w:rsid w:val="008341F2"/>
    <w:rsid w:val="00837660"/>
    <w:rsid w:val="00845288"/>
    <w:rsid w:val="0084610F"/>
    <w:rsid w:val="00846686"/>
    <w:rsid w:val="00851CE2"/>
    <w:rsid w:val="00852323"/>
    <w:rsid w:val="0085701B"/>
    <w:rsid w:val="008577E3"/>
    <w:rsid w:val="00872892"/>
    <w:rsid w:val="008767B4"/>
    <w:rsid w:val="00880436"/>
    <w:rsid w:val="00880644"/>
    <w:rsid w:val="008817D2"/>
    <w:rsid w:val="008863B0"/>
    <w:rsid w:val="00887FBC"/>
    <w:rsid w:val="00891092"/>
    <w:rsid w:val="008A2224"/>
    <w:rsid w:val="008A235A"/>
    <w:rsid w:val="008A3B34"/>
    <w:rsid w:val="008A6D4F"/>
    <w:rsid w:val="008B3EF4"/>
    <w:rsid w:val="008B51E5"/>
    <w:rsid w:val="008B617C"/>
    <w:rsid w:val="008B79B6"/>
    <w:rsid w:val="008D6923"/>
    <w:rsid w:val="008D7507"/>
    <w:rsid w:val="008E2BB5"/>
    <w:rsid w:val="008E4D14"/>
    <w:rsid w:val="008F1E72"/>
    <w:rsid w:val="008F21B2"/>
    <w:rsid w:val="00903DE9"/>
    <w:rsid w:val="00905A06"/>
    <w:rsid w:val="00907AB9"/>
    <w:rsid w:val="00911375"/>
    <w:rsid w:val="009137EF"/>
    <w:rsid w:val="009273E3"/>
    <w:rsid w:val="0093106F"/>
    <w:rsid w:val="00932FA5"/>
    <w:rsid w:val="00934EEC"/>
    <w:rsid w:val="00935B31"/>
    <w:rsid w:val="009460BC"/>
    <w:rsid w:val="00946134"/>
    <w:rsid w:val="009573AC"/>
    <w:rsid w:val="0096063F"/>
    <w:rsid w:val="009615C5"/>
    <w:rsid w:val="0096174F"/>
    <w:rsid w:val="009701CE"/>
    <w:rsid w:val="00976BFF"/>
    <w:rsid w:val="00980153"/>
    <w:rsid w:val="009804F6"/>
    <w:rsid w:val="00993A29"/>
    <w:rsid w:val="00993DCE"/>
    <w:rsid w:val="00995329"/>
    <w:rsid w:val="00996637"/>
    <w:rsid w:val="00997007"/>
    <w:rsid w:val="009A04AF"/>
    <w:rsid w:val="009A0A5E"/>
    <w:rsid w:val="009A1898"/>
    <w:rsid w:val="009A232E"/>
    <w:rsid w:val="009A397A"/>
    <w:rsid w:val="009A5315"/>
    <w:rsid w:val="009A7873"/>
    <w:rsid w:val="009B5514"/>
    <w:rsid w:val="009C075C"/>
    <w:rsid w:val="009C3C14"/>
    <w:rsid w:val="009C4BC7"/>
    <w:rsid w:val="009C5328"/>
    <w:rsid w:val="009D4652"/>
    <w:rsid w:val="009D63BD"/>
    <w:rsid w:val="009E194C"/>
    <w:rsid w:val="009F063E"/>
    <w:rsid w:val="009F0848"/>
    <w:rsid w:val="009F08EC"/>
    <w:rsid w:val="009F11B7"/>
    <w:rsid w:val="009F4777"/>
    <w:rsid w:val="009F4A6E"/>
    <w:rsid w:val="009F5D61"/>
    <w:rsid w:val="009F64C8"/>
    <w:rsid w:val="00A00122"/>
    <w:rsid w:val="00A0371A"/>
    <w:rsid w:val="00A04BEE"/>
    <w:rsid w:val="00A11FC6"/>
    <w:rsid w:val="00A12D79"/>
    <w:rsid w:val="00A27CCD"/>
    <w:rsid w:val="00A35423"/>
    <w:rsid w:val="00A43085"/>
    <w:rsid w:val="00A45601"/>
    <w:rsid w:val="00A5441B"/>
    <w:rsid w:val="00A605BE"/>
    <w:rsid w:val="00A64055"/>
    <w:rsid w:val="00A65F4B"/>
    <w:rsid w:val="00A70C40"/>
    <w:rsid w:val="00A80EFA"/>
    <w:rsid w:val="00A826C5"/>
    <w:rsid w:val="00A86394"/>
    <w:rsid w:val="00A90A0D"/>
    <w:rsid w:val="00A92B67"/>
    <w:rsid w:val="00A93144"/>
    <w:rsid w:val="00AA4EDB"/>
    <w:rsid w:val="00AB0053"/>
    <w:rsid w:val="00AB29C6"/>
    <w:rsid w:val="00AB438B"/>
    <w:rsid w:val="00AC1D01"/>
    <w:rsid w:val="00AC277B"/>
    <w:rsid w:val="00AC3227"/>
    <w:rsid w:val="00AC3630"/>
    <w:rsid w:val="00AC470C"/>
    <w:rsid w:val="00AC491C"/>
    <w:rsid w:val="00AC6E2A"/>
    <w:rsid w:val="00AC7F9B"/>
    <w:rsid w:val="00AD108D"/>
    <w:rsid w:val="00AD1573"/>
    <w:rsid w:val="00AD657B"/>
    <w:rsid w:val="00AE5081"/>
    <w:rsid w:val="00AE5E05"/>
    <w:rsid w:val="00AE7D10"/>
    <w:rsid w:val="00B003E3"/>
    <w:rsid w:val="00B154B1"/>
    <w:rsid w:val="00B16F26"/>
    <w:rsid w:val="00B203F2"/>
    <w:rsid w:val="00B2076B"/>
    <w:rsid w:val="00B229A0"/>
    <w:rsid w:val="00B25C04"/>
    <w:rsid w:val="00B27A69"/>
    <w:rsid w:val="00B36528"/>
    <w:rsid w:val="00B509F9"/>
    <w:rsid w:val="00B50B18"/>
    <w:rsid w:val="00B543B7"/>
    <w:rsid w:val="00B55792"/>
    <w:rsid w:val="00B60B27"/>
    <w:rsid w:val="00B61C46"/>
    <w:rsid w:val="00B71CBA"/>
    <w:rsid w:val="00B72BC5"/>
    <w:rsid w:val="00B7448E"/>
    <w:rsid w:val="00B77E94"/>
    <w:rsid w:val="00B8792F"/>
    <w:rsid w:val="00B901D4"/>
    <w:rsid w:val="00B91536"/>
    <w:rsid w:val="00B92BE1"/>
    <w:rsid w:val="00B9393E"/>
    <w:rsid w:val="00B9606B"/>
    <w:rsid w:val="00BA3747"/>
    <w:rsid w:val="00BA62A7"/>
    <w:rsid w:val="00BA7D7F"/>
    <w:rsid w:val="00BB12A2"/>
    <w:rsid w:val="00BB5AC3"/>
    <w:rsid w:val="00BC3623"/>
    <w:rsid w:val="00BC7B82"/>
    <w:rsid w:val="00BD183C"/>
    <w:rsid w:val="00BD6B55"/>
    <w:rsid w:val="00BD768E"/>
    <w:rsid w:val="00BE33F4"/>
    <w:rsid w:val="00BE34A4"/>
    <w:rsid w:val="00BE494B"/>
    <w:rsid w:val="00BE4C65"/>
    <w:rsid w:val="00BE7429"/>
    <w:rsid w:val="00BF270A"/>
    <w:rsid w:val="00BF4B40"/>
    <w:rsid w:val="00BF5100"/>
    <w:rsid w:val="00C04B25"/>
    <w:rsid w:val="00C12D0D"/>
    <w:rsid w:val="00C21816"/>
    <w:rsid w:val="00C25BDB"/>
    <w:rsid w:val="00C3114A"/>
    <w:rsid w:val="00C34BA0"/>
    <w:rsid w:val="00C423CB"/>
    <w:rsid w:val="00C46408"/>
    <w:rsid w:val="00C50A8E"/>
    <w:rsid w:val="00C52E4C"/>
    <w:rsid w:val="00C53EAB"/>
    <w:rsid w:val="00C54C14"/>
    <w:rsid w:val="00C54D4E"/>
    <w:rsid w:val="00C557E5"/>
    <w:rsid w:val="00C56B76"/>
    <w:rsid w:val="00C6048F"/>
    <w:rsid w:val="00C64568"/>
    <w:rsid w:val="00C67006"/>
    <w:rsid w:val="00C71367"/>
    <w:rsid w:val="00C74568"/>
    <w:rsid w:val="00C74E86"/>
    <w:rsid w:val="00C77182"/>
    <w:rsid w:val="00C802C1"/>
    <w:rsid w:val="00C82574"/>
    <w:rsid w:val="00C845C4"/>
    <w:rsid w:val="00C87E66"/>
    <w:rsid w:val="00C94DB9"/>
    <w:rsid w:val="00C9515F"/>
    <w:rsid w:val="00C95769"/>
    <w:rsid w:val="00CA3A39"/>
    <w:rsid w:val="00CA4B86"/>
    <w:rsid w:val="00CB0976"/>
    <w:rsid w:val="00CC13F1"/>
    <w:rsid w:val="00CC4BD5"/>
    <w:rsid w:val="00CC4F0F"/>
    <w:rsid w:val="00CC6FB2"/>
    <w:rsid w:val="00CD58CA"/>
    <w:rsid w:val="00CD6C6A"/>
    <w:rsid w:val="00CE0190"/>
    <w:rsid w:val="00CE04E1"/>
    <w:rsid w:val="00CE0974"/>
    <w:rsid w:val="00CE102B"/>
    <w:rsid w:val="00CE2403"/>
    <w:rsid w:val="00CE4B2C"/>
    <w:rsid w:val="00CE69AD"/>
    <w:rsid w:val="00CF26D6"/>
    <w:rsid w:val="00CF7AAD"/>
    <w:rsid w:val="00D00313"/>
    <w:rsid w:val="00D05A02"/>
    <w:rsid w:val="00D130CA"/>
    <w:rsid w:val="00D17133"/>
    <w:rsid w:val="00D2098C"/>
    <w:rsid w:val="00D31F36"/>
    <w:rsid w:val="00D32301"/>
    <w:rsid w:val="00D3317A"/>
    <w:rsid w:val="00D33B1A"/>
    <w:rsid w:val="00D33E5D"/>
    <w:rsid w:val="00D371F6"/>
    <w:rsid w:val="00D405A8"/>
    <w:rsid w:val="00D41F08"/>
    <w:rsid w:val="00D42B89"/>
    <w:rsid w:val="00D46B09"/>
    <w:rsid w:val="00D5009B"/>
    <w:rsid w:val="00D50114"/>
    <w:rsid w:val="00D51067"/>
    <w:rsid w:val="00D52D3E"/>
    <w:rsid w:val="00D531EA"/>
    <w:rsid w:val="00D553D2"/>
    <w:rsid w:val="00D5606E"/>
    <w:rsid w:val="00D5696E"/>
    <w:rsid w:val="00D67490"/>
    <w:rsid w:val="00D7170A"/>
    <w:rsid w:val="00D7197C"/>
    <w:rsid w:val="00D73B2C"/>
    <w:rsid w:val="00D75DBC"/>
    <w:rsid w:val="00D82FEE"/>
    <w:rsid w:val="00D86998"/>
    <w:rsid w:val="00D9326E"/>
    <w:rsid w:val="00DA1C2B"/>
    <w:rsid w:val="00DA23A3"/>
    <w:rsid w:val="00DC18F8"/>
    <w:rsid w:val="00DC38F0"/>
    <w:rsid w:val="00DD0130"/>
    <w:rsid w:val="00DD0BE7"/>
    <w:rsid w:val="00DD3481"/>
    <w:rsid w:val="00DD3CAE"/>
    <w:rsid w:val="00DD46FB"/>
    <w:rsid w:val="00DD4B0A"/>
    <w:rsid w:val="00DE0580"/>
    <w:rsid w:val="00DE23CE"/>
    <w:rsid w:val="00DE3BB9"/>
    <w:rsid w:val="00DF1664"/>
    <w:rsid w:val="00DF5CB8"/>
    <w:rsid w:val="00DF632D"/>
    <w:rsid w:val="00E015FF"/>
    <w:rsid w:val="00E046BA"/>
    <w:rsid w:val="00E05B42"/>
    <w:rsid w:val="00E062D9"/>
    <w:rsid w:val="00E07EA0"/>
    <w:rsid w:val="00E14EEB"/>
    <w:rsid w:val="00E227D1"/>
    <w:rsid w:val="00E2394C"/>
    <w:rsid w:val="00E24435"/>
    <w:rsid w:val="00E27A5F"/>
    <w:rsid w:val="00E27FD2"/>
    <w:rsid w:val="00E33BAC"/>
    <w:rsid w:val="00E35943"/>
    <w:rsid w:val="00E37864"/>
    <w:rsid w:val="00E4370F"/>
    <w:rsid w:val="00E43E18"/>
    <w:rsid w:val="00E443E4"/>
    <w:rsid w:val="00E465C9"/>
    <w:rsid w:val="00E54F76"/>
    <w:rsid w:val="00E56010"/>
    <w:rsid w:val="00E64186"/>
    <w:rsid w:val="00E71928"/>
    <w:rsid w:val="00E71BB9"/>
    <w:rsid w:val="00E76717"/>
    <w:rsid w:val="00E76C2C"/>
    <w:rsid w:val="00E7707D"/>
    <w:rsid w:val="00E82B04"/>
    <w:rsid w:val="00E833B2"/>
    <w:rsid w:val="00E92C84"/>
    <w:rsid w:val="00E93DD0"/>
    <w:rsid w:val="00E95324"/>
    <w:rsid w:val="00EA0222"/>
    <w:rsid w:val="00EA2528"/>
    <w:rsid w:val="00EB2B05"/>
    <w:rsid w:val="00EB5CDF"/>
    <w:rsid w:val="00EC7B20"/>
    <w:rsid w:val="00ED1150"/>
    <w:rsid w:val="00ED1DF9"/>
    <w:rsid w:val="00ED77D8"/>
    <w:rsid w:val="00ED7AB4"/>
    <w:rsid w:val="00EE2FA0"/>
    <w:rsid w:val="00EE436C"/>
    <w:rsid w:val="00EE6ACE"/>
    <w:rsid w:val="00EF1467"/>
    <w:rsid w:val="00EF1D35"/>
    <w:rsid w:val="00EF4EBD"/>
    <w:rsid w:val="00EF5387"/>
    <w:rsid w:val="00EF728E"/>
    <w:rsid w:val="00F027B9"/>
    <w:rsid w:val="00F0797E"/>
    <w:rsid w:val="00F109D1"/>
    <w:rsid w:val="00F14BBC"/>
    <w:rsid w:val="00F169E8"/>
    <w:rsid w:val="00F2023A"/>
    <w:rsid w:val="00F2100E"/>
    <w:rsid w:val="00F215B7"/>
    <w:rsid w:val="00F21EDE"/>
    <w:rsid w:val="00F36DCE"/>
    <w:rsid w:val="00F379B5"/>
    <w:rsid w:val="00F43590"/>
    <w:rsid w:val="00F439E9"/>
    <w:rsid w:val="00F474E2"/>
    <w:rsid w:val="00F47AA5"/>
    <w:rsid w:val="00F47AD3"/>
    <w:rsid w:val="00F52ABB"/>
    <w:rsid w:val="00F54AFC"/>
    <w:rsid w:val="00F57C7F"/>
    <w:rsid w:val="00F62E34"/>
    <w:rsid w:val="00F63AB7"/>
    <w:rsid w:val="00F6647C"/>
    <w:rsid w:val="00F728BF"/>
    <w:rsid w:val="00F74454"/>
    <w:rsid w:val="00F767AC"/>
    <w:rsid w:val="00F76858"/>
    <w:rsid w:val="00F82F5B"/>
    <w:rsid w:val="00F92E34"/>
    <w:rsid w:val="00FA4BE5"/>
    <w:rsid w:val="00FA63EC"/>
    <w:rsid w:val="00FB30C9"/>
    <w:rsid w:val="00FB6283"/>
    <w:rsid w:val="00FC517F"/>
    <w:rsid w:val="00FD2D07"/>
    <w:rsid w:val="00FD33D2"/>
    <w:rsid w:val="00FE2E77"/>
    <w:rsid w:val="00FF081C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5838"/>
  <w15:docId w15:val="{376DE0E0-05A3-471A-A8DF-B3E12B5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EC"/>
  </w:style>
  <w:style w:type="paragraph" w:styleId="Footer">
    <w:name w:val="footer"/>
    <w:basedOn w:val="Normal"/>
    <w:link w:val="FooterChar"/>
    <w:uiPriority w:val="99"/>
    <w:unhideWhenUsed/>
    <w:rsid w:val="0093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EC"/>
  </w:style>
  <w:style w:type="character" w:styleId="CommentReference">
    <w:name w:val="annotation reference"/>
    <w:basedOn w:val="DefaultParagraphFont"/>
    <w:uiPriority w:val="99"/>
    <w:semiHidden/>
    <w:unhideWhenUsed/>
    <w:rsid w:val="00C5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149"/>
    <w:pPr>
      <w:autoSpaceDN/>
      <w:spacing w:after="0" w:line="240" w:lineRule="auto"/>
      <w:textAlignment w:val="auto"/>
    </w:pPr>
  </w:style>
  <w:style w:type="table" w:styleId="TableGrid">
    <w:name w:val="Table Grid"/>
    <w:basedOn w:val="TableNormal"/>
    <w:uiPriority w:val="39"/>
    <w:rsid w:val="0063514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25C04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B25C04"/>
  </w:style>
  <w:style w:type="character" w:styleId="UnresolvedMention">
    <w:name w:val="Unresolved Mention"/>
    <w:basedOn w:val="DefaultParagraphFont"/>
    <w:uiPriority w:val="99"/>
    <w:semiHidden/>
    <w:unhideWhenUsed/>
    <w:rsid w:val="001C0B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BB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iteshares.com/institutional/uk/en-uk/etps/sfng" TargetMode="External"/><Relationship Id="rId18" Type="http://schemas.openxmlformats.org/officeDocument/2006/relationships/hyperlink" Target="https://graniteshares.com/institutional/uk/en-uk/etps/3sft" TargetMode="External"/><Relationship Id="rId26" Type="http://schemas.openxmlformats.org/officeDocument/2006/relationships/hyperlink" Target="https://graniteshares.com/institutional/uk/en-uk/etps/3lbp" TargetMode="External"/><Relationship Id="rId39" Type="http://schemas.openxmlformats.org/officeDocument/2006/relationships/hyperlink" Target="https://graniteshares.com/institutional/uk/en-uk/etps/3lvo" TargetMode="External"/><Relationship Id="rId21" Type="http://schemas.openxmlformats.org/officeDocument/2006/relationships/hyperlink" Target="https://graniteshares.com/institutional/uk/en-uk/etps/3saz" TargetMode="External"/><Relationship Id="rId34" Type="http://schemas.openxmlformats.org/officeDocument/2006/relationships/hyperlink" Target="https://graniteshares.com/institutional/uk/en-uk/etps/3lri" TargetMode="External"/><Relationship Id="rId42" Type="http://schemas.openxmlformats.org/officeDocument/2006/relationships/hyperlink" Target="https://graniteshares.com/institutional/uk/en-uk/etps/3sal" TargetMode="External"/><Relationship Id="rId47" Type="http://schemas.openxmlformats.org/officeDocument/2006/relationships/hyperlink" Target="https://graniteshares.com/institutional/uk/en-uk/etps/3lfb" TargetMode="External"/><Relationship Id="rId50" Type="http://schemas.openxmlformats.org/officeDocument/2006/relationships/hyperlink" Target="https://graniteshares.com/institutional/uk/en-uk/etps/3sms" TargetMode="External"/><Relationship Id="rId55" Type="http://schemas.openxmlformats.org/officeDocument/2006/relationships/hyperlink" Target="https://graniteshares.com/institutional/uk/en-uk/etps/3ln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raniteshares.com/institutional/uk/en-uk/etps/sgfm" TargetMode="External"/><Relationship Id="rId29" Type="http://schemas.openxmlformats.org/officeDocument/2006/relationships/hyperlink" Target="https://graniteshares.com/institutional/uk/en-uk/etps/3sdo" TargetMode="External"/><Relationship Id="rId11" Type="http://schemas.openxmlformats.org/officeDocument/2006/relationships/hyperlink" Target="https://graniteshares.com/institutional/uk/en-uk/etps/3fng" TargetMode="External"/><Relationship Id="rId24" Type="http://schemas.openxmlformats.org/officeDocument/2006/relationships/hyperlink" Target="https://graniteshares.com/institutional/uk/en-uk/etps/3lbc" TargetMode="External"/><Relationship Id="rId32" Type="http://schemas.openxmlformats.org/officeDocument/2006/relationships/hyperlink" Target="https://graniteshares.com/institutional/uk/en-uk/etps/3lll" TargetMode="External"/><Relationship Id="rId37" Type="http://schemas.openxmlformats.org/officeDocument/2006/relationships/hyperlink" Target="https://graniteshares.com/institutional/uk/en-uk/etps/3lrr" TargetMode="External"/><Relationship Id="rId40" Type="http://schemas.openxmlformats.org/officeDocument/2006/relationships/hyperlink" Target="https://graniteshares.com/institutional/uk/en-uk/etps/3svo" TargetMode="External"/><Relationship Id="rId45" Type="http://schemas.openxmlformats.org/officeDocument/2006/relationships/hyperlink" Target="https://graniteshares.com/institutional/uk/en-uk/etps/3lap" TargetMode="External"/><Relationship Id="rId53" Type="http://schemas.openxmlformats.org/officeDocument/2006/relationships/hyperlink" Target="https://graniteshares.com/institutional/uk/en-uk/etps/3lni" TargetMode="External"/><Relationship Id="rId58" Type="http://schemas.openxmlformats.org/officeDocument/2006/relationships/hyperlink" Target="https://graniteshares.com/institutional/uk/en-uk/etps/3lub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graniteshares.com/institutional/uk/en-uk/etps/sftg" TargetMode="External"/><Relationship Id="rId14" Type="http://schemas.openxmlformats.org/officeDocument/2006/relationships/hyperlink" Target="https://graniteshares.com/institutional/uk/en-uk/etps/3gfm" TargetMode="External"/><Relationship Id="rId22" Type="http://schemas.openxmlformats.org/officeDocument/2006/relationships/hyperlink" Target="https://graniteshares.com/institutional/uk/en-uk/etps/3lba" TargetMode="External"/><Relationship Id="rId27" Type="http://schemas.openxmlformats.org/officeDocument/2006/relationships/hyperlink" Target="https://graniteshares.com/institutional/uk/en-uk/etps/3sbp" TargetMode="External"/><Relationship Id="rId30" Type="http://schemas.openxmlformats.org/officeDocument/2006/relationships/hyperlink" Target="https://graniteshares.com/institutional/uk/en-uk/etps/3lgl" TargetMode="External"/><Relationship Id="rId35" Type="http://schemas.openxmlformats.org/officeDocument/2006/relationships/hyperlink" Target="https://graniteshares.com/institutional/uk/en-uk/etps/3sri" TargetMode="External"/><Relationship Id="rId43" Type="http://schemas.openxmlformats.org/officeDocument/2006/relationships/hyperlink" Target="https://graniteshares.com/institutional/uk/en-uk/etps/3lzn" TargetMode="External"/><Relationship Id="rId48" Type="http://schemas.openxmlformats.org/officeDocument/2006/relationships/hyperlink" Target="https://graniteshares.com/institutional/uk/en-uk/etps/3sfb" TargetMode="External"/><Relationship Id="rId56" Type="http://schemas.openxmlformats.org/officeDocument/2006/relationships/hyperlink" Target="https://graniteshares.com/institutional/uk/en-uk/etps/3snv" TargetMode="External"/><Relationship Id="rId8" Type="http://schemas.openxmlformats.org/officeDocument/2006/relationships/hyperlink" Target="https://graniteshares.com/institutional/uk/en-uk/etps/fane" TargetMode="External"/><Relationship Id="rId51" Type="http://schemas.openxmlformats.org/officeDocument/2006/relationships/hyperlink" Target="https://graniteshares.com/institutional/uk/en-uk/etps/3lnf" TargetMode="External"/><Relationship Id="rId3" Type="http://schemas.openxmlformats.org/officeDocument/2006/relationships/styles" Target="styles.xml"/><Relationship Id="rId12" Type="http://schemas.openxmlformats.org/officeDocument/2006/relationships/hyperlink" Target="https://graniteshares.com/institutional/uk/en-uk/etps/3sfg" TargetMode="External"/><Relationship Id="rId17" Type="http://schemas.openxmlformats.org/officeDocument/2006/relationships/hyperlink" Target="https://graniteshares.com/institutional/uk/en-uk/etps/3ftg" TargetMode="External"/><Relationship Id="rId25" Type="http://schemas.openxmlformats.org/officeDocument/2006/relationships/hyperlink" Target="https://graniteshares.com/institutional/uk/en-uk/etps/3sbc" TargetMode="External"/><Relationship Id="rId33" Type="http://schemas.openxmlformats.org/officeDocument/2006/relationships/hyperlink" Target="https://graniteshares.com/institutional/uk/en-uk/etps/3sll" TargetMode="External"/><Relationship Id="rId38" Type="http://schemas.openxmlformats.org/officeDocument/2006/relationships/hyperlink" Target="https://graniteshares.com/institutional/uk/en-uk/etps/3srr" TargetMode="External"/><Relationship Id="rId46" Type="http://schemas.openxmlformats.org/officeDocument/2006/relationships/hyperlink" Target="https://graniteshares.com/institutional/uk/en-uk/etps/3sap" TargetMode="External"/><Relationship Id="rId59" Type="http://schemas.openxmlformats.org/officeDocument/2006/relationships/hyperlink" Target="https://graniteshares.com/institutional/uk/en-uk/etps/3sub" TargetMode="External"/><Relationship Id="rId20" Type="http://schemas.openxmlformats.org/officeDocument/2006/relationships/hyperlink" Target="https://graniteshares.com/institutional/uk/en-uk/etps/3laz" TargetMode="External"/><Relationship Id="rId41" Type="http://schemas.openxmlformats.org/officeDocument/2006/relationships/hyperlink" Target="https://graniteshares.com/institutional/uk/en-uk/etps/3lal" TargetMode="External"/><Relationship Id="rId54" Type="http://schemas.openxmlformats.org/officeDocument/2006/relationships/hyperlink" Target="https://graniteshares.com/institutional/uk/en-uk/etps/3s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raniteshares.com/institutional/uk/en-uk/etps/3sgf" TargetMode="External"/><Relationship Id="rId23" Type="http://schemas.openxmlformats.org/officeDocument/2006/relationships/hyperlink" Target="https://graniteshares.com/institutional/uk/en-uk/etps/3sba" TargetMode="External"/><Relationship Id="rId28" Type="http://schemas.openxmlformats.org/officeDocument/2006/relationships/hyperlink" Target="https://graniteshares.com/institutional/uk/en-uk/etps/3ldo" TargetMode="External"/><Relationship Id="rId36" Type="http://schemas.openxmlformats.org/officeDocument/2006/relationships/hyperlink" Target="https://graniteshares.com/institutional/uk/en-uk/etps/3srd" TargetMode="External"/><Relationship Id="rId49" Type="http://schemas.openxmlformats.org/officeDocument/2006/relationships/hyperlink" Target="https://graniteshares.com/institutional/uk/en-uk/etps/3lms" TargetMode="External"/><Relationship Id="rId57" Type="http://schemas.openxmlformats.org/officeDocument/2006/relationships/hyperlink" Target="https://graniteshares.com/institutional/uk/en-uk/etps/3sts" TargetMode="External"/><Relationship Id="rId10" Type="http://schemas.openxmlformats.org/officeDocument/2006/relationships/hyperlink" Target="https://graniteshares.com/institutional/uk/en-uk/etps/ftne" TargetMode="External"/><Relationship Id="rId31" Type="http://schemas.openxmlformats.org/officeDocument/2006/relationships/hyperlink" Target="https://graniteshares.com/institutional/uk/en-uk/etps/3sgl" TargetMode="External"/><Relationship Id="rId44" Type="http://schemas.openxmlformats.org/officeDocument/2006/relationships/hyperlink" Target="https://graniteshares.com/institutional/uk/en-uk/etps/3szn" TargetMode="External"/><Relationship Id="rId52" Type="http://schemas.openxmlformats.org/officeDocument/2006/relationships/hyperlink" Target="https://graniteshares.com/institutional/uk/en-uk/etps/3sn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iteshares.com/institutional/uk/en-uk/etps/gf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CDC0-B187-4A2F-9968-A3E66281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Anderson</dc:creator>
  <dc:description/>
  <cp:lastModifiedBy>Phil Anderson</cp:lastModifiedBy>
  <cp:revision>3</cp:revision>
  <cp:lastPrinted>2021-04-11T10:07:00Z</cp:lastPrinted>
  <dcterms:created xsi:type="dcterms:W3CDTF">2023-02-07T08:22:00Z</dcterms:created>
  <dcterms:modified xsi:type="dcterms:W3CDTF">2023-02-07T08:27:00Z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0x010100D56A093EF4503F46BEDC3922C135C599</vt:lpwstr>
  </property>
</Properties>
</file>