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32D8" w14:textId="239BCA02" w:rsidR="00BA31D9" w:rsidRPr="005339D4" w:rsidRDefault="00824541" w:rsidP="003B59F8">
      <w:pPr>
        <w:spacing w:after="0" w:line="276" w:lineRule="auto"/>
        <w:jc w:val="center"/>
        <w:rPr>
          <w:rFonts w:ascii="Symbol" w:eastAsia="Arial" w:hAnsi="Symbol" w:cs="Arial"/>
          <w:b/>
          <w:bCs/>
          <w:sz w:val="24"/>
          <w:szCs w:val="24"/>
          <w:lang w:eastAsia="de-CH"/>
        </w:rPr>
      </w:pPr>
      <w:r w:rsidRPr="005339D4">
        <w:rPr>
          <w:rFonts w:ascii="Arial" w:eastAsia="Arial" w:hAnsi="Arial" w:cs="Arial"/>
          <w:b/>
          <w:bCs/>
          <w:sz w:val="24"/>
          <w:szCs w:val="24"/>
          <w:lang w:eastAsia="de-CH"/>
        </w:rPr>
        <w:t>21Shares</w:t>
      </w:r>
      <w:r w:rsidR="00FC4FB2" w:rsidRPr="005339D4">
        <w:rPr>
          <w:rFonts w:ascii="Arial" w:eastAsia="Arial" w:hAnsi="Arial" w:cs="Arial"/>
          <w:b/>
          <w:bCs/>
          <w:sz w:val="24"/>
          <w:szCs w:val="24"/>
          <w:lang w:eastAsia="de-CH"/>
        </w:rPr>
        <w:t xml:space="preserve"> </w:t>
      </w:r>
      <w:r w:rsidR="00E13FEC">
        <w:rPr>
          <w:rFonts w:ascii="Arial" w:eastAsia="Arial" w:hAnsi="Arial" w:cs="Arial"/>
          <w:b/>
          <w:bCs/>
          <w:sz w:val="24"/>
          <w:szCs w:val="24"/>
          <w:lang w:eastAsia="de-CH"/>
        </w:rPr>
        <w:t>lanciert das weltweit erste Bitcoin ETP im Nahen Osten</w:t>
      </w:r>
    </w:p>
    <w:p w14:paraId="2AA59B08" w14:textId="77777777" w:rsidR="00BA31D9" w:rsidRPr="005339D4" w:rsidRDefault="00BA31D9" w:rsidP="003B59F8">
      <w:pPr>
        <w:autoSpaceDE w:val="0"/>
        <w:autoSpaceDN w:val="0"/>
        <w:adjustRightInd w:val="0"/>
        <w:spacing w:after="0" w:line="276" w:lineRule="auto"/>
        <w:rPr>
          <w:rFonts w:ascii="Arial" w:hAnsi="Arial" w:cs="Arial"/>
          <w:b/>
          <w:bCs/>
        </w:rPr>
      </w:pPr>
    </w:p>
    <w:p w14:paraId="79E85F20" w14:textId="5BECFFC5" w:rsidR="00523D51" w:rsidRDefault="0050778B" w:rsidP="003B59F8">
      <w:pPr>
        <w:spacing w:line="276" w:lineRule="auto"/>
        <w:jc w:val="center"/>
        <w:rPr>
          <w:rFonts w:ascii="Arial" w:eastAsia="Arial" w:hAnsi="Arial" w:cs="Arial"/>
          <w:i/>
          <w:iCs/>
          <w:lang w:eastAsia="de-CH"/>
        </w:rPr>
      </w:pPr>
      <w:r>
        <w:rPr>
          <w:rFonts w:ascii="Arial" w:eastAsia="Arial" w:hAnsi="Arial" w:cs="Arial"/>
          <w:i/>
          <w:iCs/>
          <w:lang w:eastAsia="de-CH"/>
        </w:rPr>
        <w:t>D</w:t>
      </w:r>
      <w:r w:rsidR="00FC4FB2" w:rsidRPr="00FC4FB2">
        <w:rPr>
          <w:rFonts w:ascii="Arial" w:eastAsia="Arial" w:hAnsi="Arial" w:cs="Arial"/>
          <w:i/>
          <w:iCs/>
          <w:lang w:eastAsia="de-CH"/>
        </w:rPr>
        <w:t xml:space="preserve">as </w:t>
      </w:r>
      <w:r w:rsidR="00715794">
        <w:rPr>
          <w:rFonts w:ascii="Arial" w:eastAsia="Arial" w:hAnsi="Arial" w:cs="Arial"/>
          <w:i/>
          <w:iCs/>
          <w:lang w:eastAsia="de-CH"/>
        </w:rPr>
        <w:t>grösste</w:t>
      </w:r>
      <w:r w:rsidR="00FC4FB2" w:rsidRPr="00FC4FB2">
        <w:rPr>
          <w:rFonts w:ascii="Arial" w:eastAsia="Arial" w:hAnsi="Arial" w:cs="Arial"/>
          <w:i/>
          <w:iCs/>
          <w:lang w:eastAsia="de-CH"/>
        </w:rPr>
        <w:t xml:space="preserve"> </w:t>
      </w:r>
      <w:r w:rsidR="00375F3A">
        <w:rPr>
          <w:rFonts w:ascii="Arial" w:eastAsia="Arial" w:hAnsi="Arial" w:cs="Arial"/>
          <w:i/>
          <w:iCs/>
          <w:lang w:eastAsia="de-CH"/>
        </w:rPr>
        <w:t>Krypto-Einhorn</w:t>
      </w:r>
      <w:r w:rsidR="00FC4FB2" w:rsidRPr="00FC4FB2">
        <w:rPr>
          <w:rFonts w:ascii="Arial" w:eastAsia="Arial" w:hAnsi="Arial" w:cs="Arial"/>
          <w:i/>
          <w:iCs/>
          <w:lang w:eastAsia="de-CH"/>
        </w:rPr>
        <w:t xml:space="preserve"> d</w:t>
      </w:r>
      <w:r w:rsidR="00FC4FB2">
        <w:rPr>
          <w:rFonts w:ascii="Arial" w:eastAsia="Arial" w:hAnsi="Arial" w:cs="Arial"/>
          <w:i/>
          <w:iCs/>
          <w:lang w:eastAsia="de-CH"/>
        </w:rPr>
        <w:t>er Schweiz</w:t>
      </w:r>
      <w:r w:rsidR="003843B7">
        <w:rPr>
          <w:rFonts w:ascii="Arial" w:eastAsia="Arial" w:hAnsi="Arial" w:cs="Arial"/>
          <w:i/>
          <w:iCs/>
          <w:lang w:eastAsia="de-CH"/>
        </w:rPr>
        <w:t xml:space="preserve"> </w:t>
      </w:r>
      <w:r w:rsidR="00FD592A">
        <w:rPr>
          <w:rFonts w:ascii="Arial" w:eastAsia="Arial" w:hAnsi="Arial" w:cs="Arial"/>
          <w:i/>
          <w:iCs/>
          <w:lang w:eastAsia="de-CH"/>
        </w:rPr>
        <w:t xml:space="preserve">ermöglicht mit </w:t>
      </w:r>
      <w:r w:rsidR="00317B07">
        <w:rPr>
          <w:rFonts w:ascii="Arial" w:eastAsia="Arial" w:hAnsi="Arial" w:cs="Arial"/>
          <w:i/>
          <w:iCs/>
          <w:lang w:eastAsia="de-CH"/>
        </w:rPr>
        <w:t>diesem</w:t>
      </w:r>
      <w:r w:rsidR="00FD592A">
        <w:rPr>
          <w:rFonts w:ascii="Arial" w:eastAsia="Arial" w:hAnsi="Arial" w:cs="Arial"/>
          <w:i/>
          <w:iCs/>
          <w:lang w:eastAsia="de-CH"/>
        </w:rPr>
        <w:t xml:space="preserve"> Markteintritt </w:t>
      </w:r>
      <w:r w:rsidR="003843B7">
        <w:rPr>
          <w:rFonts w:ascii="Arial" w:eastAsia="Arial" w:hAnsi="Arial" w:cs="Arial"/>
          <w:i/>
          <w:iCs/>
          <w:lang w:eastAsia="de-CH"/>
        </w:rPr>
        <w:t xml:space="preserve">Anlegern </w:t>
      </w:r>
      <w:r w:rsidR="00C116A0">
        <w:rPr>
          <w:rFonts w:ascii="Arial" w:eastAsia="Arial" w:hAnsi="Arial" w:cs="Arial"/>
          <w:i/>
          <w:iCs/>
          <w:lang w:eastAsia="de-CH"/>
        </w:rPr>
        <w:t xml:space="preserve">aus dem Nahen Osten </w:t>
      </w:r>
      <w:r w:rsidR="003843B7">
        <w:rPr>
          <w:rFonts w:ascii="Arial" w:eastAsia="Arial" w:hAnsi="Arial" w:cs="Arial"/>
          <w:i/>
          <w:iCs/>
          <w:lang w:eastAsia="de-CH"/>
        </w:rPr>
        <w:t>den Zugang zum ersten Bitcoin ETP der Welt</w:t>
      </w:r>
      <w:r w:rsidR="00FC4FB2">
        <w:rPr>
          <w:rFonts w:ascii="Arial" w:eastAsia="Arial" w:hAnsi="Arial" w:cs="Arial"/>
          <w:i/>
          <w:iCs/>
          <w:lang w:eastAsia="de-CH"/>
        </w:rPr>
        <w:t xml:space="preserve"> </w:t>
      </w:r>
    </w:p>
    <w:p w14:paraId="624E2181" w14:textId="77777777" w:rsidR="00F87EE1" w:rsidRDefault="00F87EE1" w:rsidP="003B59F8">
      <w:pPr>
        <w:spacing w:line="276" w:lineRule="auto"/>
        <w:jc w:val="center"/>
        <w:rPr>
          <w:rFonts w:ascii="Arial" w:eastAsia="Arial" w:hAnsi="Arial" w:cs="Arial"/>
          <w:i/>
          <w:iCs/>
          <w:lang w:eastAsia="de-CH"/>
        </w:rPr>
      </w:pPr>
    </w:p>
    <w:p w14:paraId="4914D8A0" w14:textId="79E0EF11" w:rsidR="00A1565D" w:rsidRDefault="001A6EB5" w:rsidP="00A1565D">
      <w:pPr>
        <w:autoSpaceDE w:val="0"/>
        <w:autoSpaceDN w:val="0"/>
        <w:adjustRightInd w:val="0"/>
        <w:spacing w:after="0" w:line="240" w:lineRule="auto"/>
        <w:rPr>
          <w:rFonts w:ascii="Arial" w:hAnsi="Arial" w:cs="Arial"/>
        </w:rPr>
      </w:pPr>
      <w:r w:rsidRPr="001E1461">
        <w:rPr>
          <w:rFonts w:ascii="Arial" w:hAnsi="Arial" w:cs="Arial"/>
          <w:b/>
          <w:bCs/>
        </w:rPr>
        <w:t>Z</w:t>
      </w:r>
      <w:r w:rsidR="00CE7BEC" w:rsidRPr="001E1461">
        <w:rPr>
          <w:rFonts w:ascii="Arial" w:hAnsi="Arial" w:cs="Arial"/>
          <w:b/>
          <w:bCs/>
        </w:rPr>
        <w:t>ü</w:t>
      </w:r>
      <w:r w:rsidRPr="001E1461">
        <w:rPr>
          <w:rFonts w:ascii="Arial" w:hAnsi="Arial" w:cs="Arial"/>
          <w:b/>
          <w:bCs/>
        </w:rPr>
        <w:t>rich</w:t>
      </w:r>
      <w:r w:rsidR="00350051">
        <w:rPr>
          <w:rFonts w:ascii="Arial" w:hAnsi="Arial" w:cs="Arial"/>
          <w:b/>
          <w:bCs/>
        </w:rPr>
        <w:t>/Dubai</w:t>
      </w:r>
      <w:r w:rsidRPr="001E1461">
        <w:rPr>
          <w:rFonts w:ascii="Arial" w:hAnsi="Arial" w:cs="Arial"/>
          <w:b/>
          <w:bCs/>
        </w:rPr>
        <w:t xml:space="preserve">, </w:t>
      </w:r>
      <w:r w:rsidR="00350051">
        <w:rPr>
          <w:rFonts w:ascii="Arial" w:hAnsi="Arial" w:cs="Arial"/>
          <w:b/>
          <w:bCs/>
        </w:rPr>
        <w:t>12</w:t>
      </w:r>
      <w:r w:rsidR="00CE7BEC" w:rsidRPr="001E1461">
        <w:rPr>
          <w:rFonts w:ascii="Arial" w:hAnsi="Arial" w:cs="Arial"/>
          <w:b/>
          <w:bCs/>
        </w:rPr>
        <w:t xml:space="preserve">. </w:t>
      </w:r>
      <w:r w:rsidR="00CE7BEC" w:rsidRPr="00334C50">
        <w:rPr>
          <w:rFonts w:ascii="Arial" w:hAnsi="Arial" w:cs="Arial"/>
          <w:b/>
          <w:bCs/>
        </w:rPr>
        <w:t>Oktober</w:t>
      </w:r>
      <w:r w:rsidR="00BA31D9" w:rsidRPr="00334C50">
        <w:rPr>
          <w:rFonts w:ascii="Arial" w:hAnsi="Arial" w:cs="Arial"/>
          <w:b/>
          <w:bCs/>
        </w:rPr>
        <w:t xml:space="preserve"> 2022</w:t>
      </w:r>
      <w:r w:rsidRPr="00334C50">
        <w:rPr>
          <w:rFonts w:ascii="Arial" w:hAnsi="Arial" w:cs="Arial"/>
        </w:rPr>
        <w:t xml:space="preserve"> - </w:t>
      </w:r>
      <w:hyperlink r:id="rId10" w:history="1">
        <w:r w:rsidR="00334C50" w:rsidRPr="00621F5F">
          <w:rPr>
            <w:rStyle w:val="Hyperlink"/>
            <w:rFonts w:ascii="Arial" w:hAnsi="Arial" w:cs="Arial"/>
          </w:rPr>
          <w:t>21Shares AG</w:t>
        </w:r>
      </w:hyperlink>
      <w:r w:rsidR="00334C50" w:rsidRPr="00334C50">
        <w:rPr>
          <w:rFonts w:ascii="Arial" w:hAnsi="Arial" w:cs="Arial"/>
        </w:rPr>
        <w:t xml:space="preserve">, </w:t>
      </w:r>
      <w:r w:rsidR="00A2225F">
        <w:rPr>
          <w:rFonts w:ascii="Arial" w:hAnsi="Arial" w:cs="Arial"/>
        </w:rPr>
        <w:t xml:space="preserve">die Tochtergesellschaft von 21.co und </w:t>
      </w:r>
      <w:r w:rsidR="009C32D6">
        <w:rPr>
          <w:rFonts w:ascii="Arial" w:hAnsi="Arial" w:cs="Arial"/>
        </w:rPr>
        <w:t>das h</w:t>
      </w:r>
      <w:r w:rsidR="00947037">
        <w:rPr>
          <w:rFonts w:ascii="Arial" w:hAnsi="Arial" w:cs="Arial"/>
        </w:rPr>
        <w:t>ö</w:t>
      </w:r>
      <w:r w:rsidR="009C32D6">
        <w:rPr>
          <w:rFonts w:ascii="Arial" w:hAnsi="Arial" w:cs="Arial"/>
        </w:rPr>
        <w:t xml:space="preserve">chstbewertete Krypto-Einhorn </w:t>
      </w:r>
      <w:r w:rsidR="00C62371">
        <w:rPr>
          <w:rFonts w:ascii="Arial" w:hAnsi="Arial" w:cs="Arial"/>
        </w:rPr>
        <w:t>d</w:t>
      </w:r>
      <w:r w:rsidR="009C32D6">
        <w:rPr>
          <w:rFonts w:ascii="Arial" w:hAnsi="Arial" w:cs="Arial"/>
        </w:rPr>
        <w:t>er S</w:t>
      </w:r>
      <w:r w:rsidR="00947037">
        <w:rPr>
          <w:rFonts w:ascii="Arial" w:hAnsi="Arial" w:cs="Arial"/>
        </w:rPr>
        <w:t>c</w:t>
      </w:r>
      <w:r w:rsidR="009C32D6">
        <w:rPr>
          <w:rFonts w:ascii="Arial" w:hAnsi="Arial" w:cs="Arial"/>
        </w:rPr>
        <w:t>hweiz</w:t>
      </w:r>
      <w:r w:rsidR="00947037">
        <w:rPr>
          <w:rFonts w:ascii="Arial" w:hAnsi="Arial" w:cs="Arial"/>
        </w:rPr>
        <w:t>,</w:t>
      </w:r>
      <w:r w:rsidR="00334C50" w:rsidRPr="00334C50">
        <w:rPr>
          <w:rFonts w:ascii="Arial" w:hAnsi="Arial" w:cs="Arial"/>
        </w:rPr>
        <w:t xml:space="preserve"> </w:t>
      </w:r>
      <w:r w:rsidR="008F4BCF">
        <w:rPr>
          <w:rFonts w:ascii="Arial" w:hAnsi="Arial" w:cs="Arial"/>
        </w:rPr>
        <w:t>expandiert in den Nahen Osten</w:t>
      </w:r>
      <w:r w:rsidR="004E6158">
        <w:rPr>
          <w:rFonts w:ascii="Arial" w:hAnsi="Arial" w:cs="Arial"/>
        </w:rPr>
        <w:t xml:space="preserve"> </w:t>
      </w:r>
      <w:r w:rsidR="004E6158" w:rsidRPr="001E5FBB">
        <w:rPr>
          <w:rFonts w:ascii="Arial" w:hAnsi="Arial" w:cs="Arial"/>
        </w:rPr>
        <w:t xml:space="preserve">- eine Schlüsselregion auf der globalen Roadmap des </w:t>
      </w:r>
      <w:r w:rsidR="00947037">
        <w:rPr>
          <w:rFonts w:ascii="Arial" w:hAnsi="Arial" w:cs="Arial"/>
        </w:rPr>
        <w:t>Fintech-</w:t>
      </w:r>
      <w:r w:rsidR="004E6158" w:rsidRPr="001E5FBB">
        <w:rPr>
          <w:rFonts w:ascii="Arial" w:hAnsi="Arial" w:cs="Arial"/>
        </w:rPr>
        <w:t>Unternehmens</w:t>
      </w:r>
      <w:r w:rsidR="00FA19C2">
        <w:rPr>
          <w:rFonts w:ascii="Arial" w:hAnsi="Arial" w:cs="Arial"/>
        </w:rPr>
        <w:t xml:space="preserve">. </w:t>
      </w:r>
      <w:r w:rsidR="001E5FBB" w:rsidRPr="001E5FBB">
        <w:rPr>
          <w:rFonts w:ascii="Arial" w:hAnsi="Arial" w:cs="Arial"/>
        </w:rPr>
        <w:t>Mit der Notierung des 21Shares Bitcoin ETP (Ticker: ABTC) an der Nasdaq Dubai wird das erste physisch besicherte Bitcoin</w:t>
      </w:r>
      <w:r w:rsidR="00691D50">
        <w:rPr>
          <w:rFonts w:ascii="Arial" w:hAnsi="Arial" w:cs="Arial"/>
        </w:rPr>
        <w:t xml:space="preserve"> </w:t>
      </w:r>
      <w:r w:rsidR="001E5FBB" w:rsidRPr="001E5FBB">
        <w:rPr>
          <w:rFonts w:ascii="Arial" w:hAnsi="Arial" w:cs="Arial"/>
        </w:rPr>
        <w:t>ETP im Nahen Osten eingeführt</w:t>
      </w:r>
      <w:r w:rsidR="00A1565D" w:rsidRPr="00A1565D">
        <w:rPr>
          <w:rFonts w:ascii="Arial" w:hAnsi="Arial" w:cs="Arial"/>
        </w:rPr>
        <w:t>. Mit der Aufnahme von Nasdaq Dubai listet 21Shares über 41 Produkte an 12 Börsen in 7 Ländern.</w:t>
      </w:r>
    </w:p>
    <w:p w14:paraId="0BF4C61C" w14:textId="77777777" w:rsidR="00B04788" w:rsidRDefault="00B04788" w:rsidP="00A1565D">
      <w:pPr>
        <w:autoSpaceDE w:val="0"/>
        <w:autoSpaceDN w:val="0"/>
        <w:adjustRightInd w:val="0"/>
        <w:spacing w:after="0" w:line="240" w:lineRule="auto"/>
        <w:rPr>
          <w:rFonts w:ascii="Arial" w:hAnsi="Arial" w:cs="Arial"/>
        </w:rPr>
      </w:pPr>
    </w:p>
    <w:p w14:paraId="29B8E280" w14:textId="4E1F9581" w:rsidR="00F02BA9" w:rsidRDefault="00B80B46" w:rsidP="00A1565D">
      <w:pPr>
        <w:rPr>
          <w:rFonts w:ascii="Arial" w:hAnsi="Arial" w:cs="Arial"/>
        </w:rPr>
      </w:pPr>
      <w:r>
        <w:rPr>
          <w:rFonts w:ascii="Arial" w:hAnsi="Arial" w:cs="Arial"/>
        </w:rPr>
        <w:t>I</w:t>
      </w:r>
      <w:r w:rsidR="00F3474D">
        <w:rPr>
          <w:rFonts w:ascii="Arial" w:hAnsi="Arial" w:cs="Arial"/>
        </w:rPr>
        <w:t>m</w:t>
      </w:r>
      <w:r w:rsidR="00AB3721">
        <w:rPr>
          <w:rFonts w:ascii="Arial" w:hAnsi="Arial" w:cs="Arial"/>
        </w:rPr>
        <w:t xml:space="preserve"> September 2022 kündigte 21Shares</w:t>
      </w:r>
      <w:r w:rsidR="00F376E1">
        <w:rPr>
          <w:rFonts w:ascii="Arial" w:hAnsi="Arial" w:cs="Arial"/>
        </w:rPr>
        <w:t xml:space="preserve"> </w:t>
      </w:r>
      <w:r w:rsidR="00443553">
        <w:rPr>
          <w:rFonts w:ascii="Arial" w:hAnsi="Arial" w:cs="Arial"/>
        </w:rPr>
        <w:t>die Gründung ihrer Muttergesellschaft 21.co an</w:t>
      </w:r>
      <w:r w:rsidR="00327C29">
        <w:rPr>
          <w:rFonts w:ascii="Arial" w:hAnsi="Arial" w:cs="Arial"/>
        </w:rPr>
        <w:t xml:space="preserve"> und gab </w:t>
      </w:r>
      <w:r w:rsidR="00F376E1">
        <w:rPr>
          <w:rFonts w:ascii="Arial" w:hAnsi="Arial" w:cs="Arial"/>
        </w:rPr>
        <w:t xml:space="preserve">ihre 25-Millionen Dollar-Finanzierungsrunde </w:t>
      </w:r>
      <w:r w:rsidR="00327C29">
        <w:rPr>
          <w:rFonts w:ascii="Arial" w:hAnsi="Arial" w:cs="Arial"/>
        </w:rPr>
        <w:t xml:space="preserve">bekannt. </w:t>
      </w:r>
      <w:r w:rsidR="0056049D">
        <w:rPr>
          <w:rFonts w:ascii="Arial" w:hAnsi="Arial" w:cs="Arial"/>
        </w:rPr>
        <w:t>Damit</w:t>
      </w:r>
      <w:r w:rsidR="00327C29">
        <w:rPr>
          <w:rFonts w:ascii="Arial" w:hAnsi="Arial" w:cs="Arial"/>
        </w:rPr>
        <w:t xml:space="preserve"> </w:t>
      </w:r>
      <w:r w:rsidR="00F376E1">
        <w:rPr>
          <w:rFonts w:ascii="Arial" w:hAnsi="Arial" w:cs="Arial"/>
        </w:rPr>
        <w:t xml:space="preserve">wurde </w:t>
      </w:r>
      <w:r w:rsidR="002E1E03">
        <w:rPr>
          <w:rFonts w:ascii="Arial" w:hAnsi="Arial" w:cs="Arial"/>
        </w:rPr>
        <w:t xml:space="preserve">der </w:t>
      </w:r>
      <w:r w:rsidR="004B455C">
        <w:rPr>
          <w:rFonts w:ascii="Arial" w:hAnsi="Arial" w:cs="Arial"/>
        </w:rPr>
        <w:t xml:space="preserve">weltweit </w:t>
      </w:r>
      <w:r w:rsidR="006F00AC">
        <w:rPr>
          <w:rFonts w:ascii="Arial" w:hAnsi="Arial" w:cs="Arial"/>
        </w:rPr>
        <w:t>führende</w:t>
      </w:r>
      <w:r w:rsidR="004B455C">
        <w:rPr>
          <w:rFonts w:ascii="Arial" w:hAnsi="Arial" w:cs="Arial"/>
        </w:rPr>
        <w:t xml:space="preserve"> Krypto-ETP-Anbieter</w:t>
      </w:r>
      <w:r w:rsidR="00F376E1">
        <w:rPr>
          <w:rFonts w:ascii="Arial" w:hAnsi="Arial" w:cs="Arial"/>
        </w:rPr>
        <w:t xml:space="preserve"> zum grössten Krypto-Einhorn der Schweiz</w:t>
      </w:r>
      <w:r w:rsidR="00313048">
        <w:rPr>
          <w:rFonts w:ascii="Arial" w:hAnsi="Arial" w:cs="Arial"/>
        </w:rPr>
        <w:t>. Bisher war</w:t>
      </w:r>
      <w:r w:rsidR="00281D80">
        <w:rPr>
          <w:rFonts w:ascii="Arial" w:hAnsi="Arial" w:cs="Arial"/>
        </w:rPr>
        <w:t xml:space="preserve">en die Produkte </w:t>
      </w:r>
      <w:r w:rsidR="0092759D">
        <w:rPr>
          <w:rFonts w:ascii="Arial" w:hAnsi="Arial" w:cs="Arial"/>
        </w:rPr>
        <w:t xml:space="preserve">von </w:t>
      </w:r>
      <w:r w:rsidR="00E45749">
        <w:rPr>
          <w:rFonts w:ascii="Arial" w:hAnsi="Arial" w:cs="Arial"/>
        </w:rPr>
        <w:t>21Shares in der Schweiz, in Deutschland, Frankreich</w:t>
      </w:r>
      <w:r w:rsidR="00281D80">
        <w:rPr>
          <w:rFonts w:ascii="Arial" w:hAnsi="Arial" w:cs="Arial"/>
        </w:rPr>
        <w:t>, Österreich, Schweden</w:t>
      </w:r>
      <w:r w:rsidR="0092759D">
        <w:rPr>
          <w:rFonts w:ascii="Arial" w:hAnsi="Arial" w:cs="Arial"/>
        </w:rPr>
        <w:t xml:space="preserve"> und </w:t>
      </w:r>
      <w:r w:rsidR="00EA36C8">
        <w:rPr>
          <w:rFonts w:ascii="Arial" w:hAnsi="Arial" w:cs="Arial"/>
        </w:rPr>
        <w:t>Australien</w:t>
      </w:r>
      <w:r w:rsidR="00B958CB">
        <w:rPr>
          <w:rFonts w:ascii="Arial" w:hAnsi="Arial" w:cs="Arial"/>
        </w:rPr>
        <w:t xml:space="preserve"> gelistet. </w:t>
      </w:r>
      <w:r w:rsidR="00045C70">
        <w:rPr>
          <w:rFonts w:ascii="Arial" w:hAnsi="Arial" w:cs="Arial"/>
        </w:rPr>
        <w:t>Mit dem Markteintritt in den Nahen Osten</w:t>
      </w:r>
      <w:r w:rsidR="00700676">
        <w:rPr>
          <w:rFonts w:ascii="Arial" w:hAnsi="Arial" w:cs="Arial"/>
        </w:rPr>
        <w:t xml:space="preserve"> unternimmt </w:t>
      </w:r>
      <w:r w:rsidR="00045C70" w:rsidRPr="00045C70">
        <w:rPr>
          <w:rFonts w:ascii="Arial" w:hAnsi="Arial" w:cs="Arial"/>
        </w:rPr>
        <w:t xml:space="preserve">21Shares </w:t>
      </w:r>
      <w:r w:rsidR="00325B3C">
        <w:rPr>
          <w:rFonts w:ascii="Arial" w:hAnsi="Arial" w:cs="Arial"/>
        </w:rPr>
        <w:t>nun den nächsten Schritt auf ihrer globalen Roadmap</w:t>
      </w:r>
      <w:r w:rsidR="00045C70" w:rsidRPr="00045C70">
        <w:rPr>
          <w:rFonts w:ascii="Arial" w:hAnsi="Arial" w:cs="Arial"/>
        </w:rPr>
        <w:t>.</w:t>
      </w:r>
    </w:p>
    <w:p w14:paraId="2A811E88" w14:textId="0681BF4E" w:rsidR="00DE75F4" w:rsidRPr="000066BA" w:rsidRDefault="001047C6" w:rsidP="001047C6">
      <w:pPr>
        <w:spacing w:after="0"/>
        <w:rPr>
          <w:rFonts w:ascii="Arial" w:hAnsi="Arial" w:cs="Arial"/>
          <w:b/>
          <w:bCs/>
        </w:rPr>
      </w:pPr>
      <w:r w:rsidRPr="000066BA">
        <w:rPr>
          <w:rFonts w:ascii="Arial" w:hAnsi="Arial" w:cs="Arial"/>
          <w:b/>
          <w:bCs/>
        </w:rPr>
        <w:t xml:space="preserve">21Shares </w:t>
      </w:r>
      <w:r w:rsidR="00C6653A" w:rsidRPr="000066BA">
        <w:rPr>
          <w:rFonts w:ascii="Arial" w:hAnsi="Arial" w:cs="Arial"/>
          <w:b/>
          <w:bCs/>
        </w:rPr>
        <w:t xml:space="preserve">will </w:t>
      </w:r>
      <w:r w:rsidR="000066BA">
        <w:rPr>
          <w:rFonts w:ascii="Arial" w:hAnsi="Arial" w:cs="Arial"/>
          <w:b/>
          <w:bCs/>
        </w:rPr>
        <w:t>Krypto-</w:t>
      </w:r>
      <w:r w:rsidR="000066BA" w:rsidRPr="000066BA">
        <w:rPr>
          <w:rFonts w:ascii="Arial" w:hAnsi="Arial" w:cs="Arial"/>
          <w:b/>
          <w:bCs/>
        </w:rPr>
        <w:t>Ambitionen des Nahen Ost</w:t>
      </w:r>
      <w:r w:rsidR="000066BA">
        <w:rPr>
          <w:rFonts w:ascii="Arial" w:hAnsi="Arial" w:cs="Arial"/>
          <w:b/>
          <w:bCs/>
        </w:rPr>
        <w:t>ens unterstützen</w:t>
      </w:r>
    </w:p>
    <w:p w14:paraId="5D4102D0" w14:textId="6DF1A37F" w:rsidR="00A1565D" w:rsidRPr="00A1565D" w:rsidRDefault="00A1565D" w:rsidP="00A1565D">
      <w:pPr>
        <w:rPr>
          <w:rFonts w:ascii="Arial" w:hAnsi="Arial" w:cs="Arial"/>
        </w:rPr>
      </w:pPr>
      <w:r w:rsidRPr="0041570A">
        <w:rPr>
          <w:rFonts w:ascii="Arial" w:hAnsi="Arial" w:cs="Arial"/>
        </w:rPr>
        <w:t>«</w:t>
      </w:r>
      <w:r w:rsidRPr="00A1565D">
        <w:rPr>
          <w:rFonts w:ascii="Arial" w:hAnsi="Arial" w:cs="Arial"/>
        </w:rPr>
        <w:t xml:space="preserve">Unsere Expansion in die Vereinigten Arabischen Emirate ist ein </w:t>
      </w:r>
      <w:r w:rsidR="004066EA">
        <w:rPr>
          <w:rFonts w:ascii="Arial" w:hAnsi="Arial" w:cs="Arial"/>
        </w:rPr>
        <w:t>bedeutender</w:t>
      </w:r>
      <w:r w:rsidRPr="00A1565D">
        <w:rPr>
          <w:rFonts w:ascii="Arial" w:hAnsi="Arial" w:cs="Arial"/>
        </w:rPr>
        <w:t xml:space="preserve"> Meilenstein in 21Shares' internationalen Wachstumsplänen. Da ich selbst aus dem Nahen Osten stamme, ist die Region </w:t>
      </w:r>
      <w:r w:rsidR="00B67A3E">
        <w:rPr>
          <w:rFonts w:ascii="Arial" w:hAnsi="Arial" w:cs="Arial"/>
        </w:rPr>
        <w:t>äusserst</w:t>
      </w:r>
      <w:r w:rsidRPr="00A1565D">
        <w:rPr>
          <w:rFonts w:ascii="Arial" w:hAnsi="Arial" w:cs="Arial"/>
        </w:rPr>
        <w:t xml:space="preserve"> wichtig für mich</w:t>
      </w:r>
      <w:r w:rsidR="00216B25">
        <w:rPr>
          <w:rFonts w:ascii="Arial" w:hAnsi="Arial" w:cs="Arial"/>
        </w:rPr>
        <w:t>. A</w:t>
      </w:r>
      <w:r w:rsidRPr="00A1565D">
        <w:rPr>
          <w:rFonts w:ascii="Arial" w:hAnsi="Arial" w:cs="Arial"/>
        </w:rPr>
        <w:t xml:space="preserve">ls Unternehmen sind wir bestrebt, regionalen Investoren einen sicheren Zugang zu </w:t>
      </w:r>
      <w:proofErr w:type="spellStart"/>
      <w:r w:rsidRPr="00A1565D">
        <w:rPr>
          <w:rFonts w:ascii="Arial" w:hAnsi="Arial" w:cs="Arial"/>
        </w:rPr>
        <w:t>Kryptowährungsprodukten</w:t>
      </w:r>
      <w:proofErr w:type="spellEnd"/>
      <w:r w:rsidRPr="00A1565D">
        <w:rPr>
          <w:rFonts w:ascii="Arial" w:hAnsi="Arial" w:cs="Arial"/>
        </w:rPr>
        <w:t xml:space="preserve"> zu bieten</w:t>
      </w:r>
      <w:r w:rsidR="004066EA" w:rsidRPr="0041570A">
        <w:rPr>
          <w:rFonts w:ascii="Arial" w:hAnsi="Arial" w:cs="Arial"/>
        </w:rPr>
        <w:t>»</w:t>
      </w:r>
      <w:r w:rsidRPr="00A1565D">
        <w:rPr>
          <w:rFonts w:ascii="Arial" w:hAnsi="Arial" w:cs="Arial"/>
        </w:rPr>
        <w:t xml:space="preserve">, </w:t>
      </w:r>
      <w:r w:rsidR="004066EA">
        <w:rPr>
          <w:rFonts w:ascii="Arial" w:hAnsi="Arial" w:cs="Arial"/>
        </w:rPr>
        <w:t>so</w:t>
      </w:r>
      <w:r w:rsidRPr="00A1565D">
        <w:rPr>
          <w:rFonts w:ascii="Arial" w:hAnsi="Arial" w:cs="Arial"/>
        </w:rPr>
        <w:t xml:space="preserve"> Hany </w:t>
      </w:r>
      <w:proofErr w:type="spellStart"/>
      <w:r w:rsidRPr="00A1565D">
        <w:rPr>
          <w:rFonts w:ascii="Arial" w:hAnsi="Arial" w:cs="Arial"/>
        </w:rPr>
        <w:t>Rashwan</w:t>
      </w:r>
      <w:proofErr w:type="spellEnd"/>
      <w:r w:rsidRPr="00A1565D">
        <w:rPr>
          <w:rFonts w:ascii="Arial" w:hAnsi="Arial" w:cs="Arial"/>
        </w:rPr>
        <w:t xml:space="preserve">, CEO und Mitgründer von 21Shares. </w:t>
      </w:r>
      <w:r w:rsidR="004066EA" w:rsidRPr="0041570A">
        <w:rPr>
          <w:rFonts w:ascii="Arial" w:hAnsi="Arial" w:cs="Arial"/>
        </w:rPr>
        <w:t>«</w:t>
      </w:r>
      <w:r w:rsidRPr="00A1565D">
        <w:rPr>
          <w:rFonts w:ascii="Arial" w:hAnsi="Arial" w:cs="Arial"/>
        </w:rPr>
        <w:t xml:space="preserve">Unsere Partner Nasdaq Dubai und Dubai Financial Market teilen unsere Vision, Anlegern den Zugang zu neuen und spannenden Anlageklassen zu ermöglichen. 21Shares wird weiterhin die Ambitionen des Nahen Ostens unterstützen, ein globales </w:t>
      </w:r>
      <w:proofErr w:type="spellStart"/>
      <w:r w:rsidRPr="00A1565D">
        <w:rPr>
          <w:rFonts w:ascii="Arial" w:hAnsi="Arial" w:cs="Arial"/>
        </w:rPr>
        <w:t>Kryptozentrum</w:t>
      </w:r>
      <w:proofErr w:type="spellEnd"/>
      <w:r w:rsidRPr="00A1565D">
        <w:rPr>
          <w:rFonts w:ascii="Arial" w:hAnsi="Arial" w:cs="Arial"/>
        </w:rPr>
        <w:t xml:space="preserve"> zu werden.</w:t>
      </w:r>
      <w:r w:rsidRPr="0041570A">
        <w:rPr>
          <w:rFonts w:ascii="Arial" w:hAnsi="Arial" w:cs="Arial"/>
        </w:rPr>
        <w:t>»</w:t>
      </w:r>
    </w:p>
    <w:p w14:paraId="398A4B00" w14:textId="59356B42" w:rsidR="00A1565D" w:rsidRDefault="00A1565D" w:rsidP="00A1565D">
      <w:pPr>
        <w:rPr>
          <w:rFonts w:ascii="Arial" w:hAnsi="Arial" w:cs="Arial"/>
        </w:rPr>
      </w:pPr>
      <w:r w:rsidRPr="00A1565D">
        <w:rPr>
          <w:rFonts w:ascii="Arial" w:hAnsi="Arial" w:cs="Arial"/>
        </w:rPr>
        <w:t xml:space="preserve">Die heutige Nachricht folgt auf die kürzliche Ernennung von Sherif El-Haddad, der im August dieses Jahres als Head </w:t>
      </w:r>
      <w:proofErr w:type="spellStart"/>
      <w:r w:rsidRPr="00A1565D">
        <w:rPr>
          <w:rFonts w:ascii="Arial" w:hAnsi="Arial" w:cs="Arial"/>
        </w:rPr>
        <w:t>of</w:t>
      </w:r>
      <w:proofErr w:type="spellEnd"/>
      <w:r w:rsidRPr="00A1565D">
        <w:rPr>
          <w:rFonts w:ascii="Arial" w:hAnsi="Arial" w:cs="Arial"/>
        </w:rPr>
        <w:t xml:space="preserve"> Middle East zu 21Shares kam. El-Haddad kommentiert die Börsennotierung wie folgt: </w:t>
      </w:r>
      <w:r w:rsidRPr="0041570A">
        <w:rPr>
          <w:rFonts w:ascii="Arial" w:hAnsi="Arial" w:cs="Arial"/>
        </w:rPr>
        <w:t>«</w:t>
      </w:r>
      <w:r w:rsidRPr="00A1565D">
        <w:rPr>
          <w:rFonts w:ascii="Arial" w:hAnsi="Arial" w:cs="Arial"/>
        </w:rPr>
        <w:t>Kryptowährungen werden für Investoren und Vermögensverwalter auf der ganzen Welt schnell zum Vermögenswert der Zukunft, da die globale Krypto-Akzeptanz und das Investitionsniveau weiterhin rasant ansteigen</w:t>
      </w:r>
      <w:r w:rsidR="000B4C6A">
        <w:rPr>
          <w:rFonts w:ascii="Arial" w:hAnsi="Arial" w:cs="Arial"/>
        </w:rPr>
        <w:t>. D</w:t>
      </w:r>
      <w:r w:rsidRPr="00A1565D">
        <w:rPr>
          <w:rFonts w:ascii="Arial" w:hAnsi="Arial" w:cs="Arial"/>
        </w:rPr>
        <w:t>er Nahe Osten ist ein wichtiger Beschleuniger dieses Wachstums. Die Vereinigten Arabischen Emirate und der breitere GCC sind ein Markt von erheblicher strategischer Bedeutung für unser Geschäft</w:t>
      </w:r>
      <w:r w:rsidR="004F1E7F">
        <w:rPr>
          <w:rFonts w:ascii="Arial" w:hAnsi="Arial" w:cs="Arial"/>
        </w:rPr>
        <w:t>. Wir</w:t>
      </w:r>
      <w:r w:rsidRPr="00A1565D">
        <w:rPr>
          <w:rFonts w:ascii="Arial" w:hAnsi="Arial" w:cs="Arial"/>
        </w:rPr>
        <w:t xml:space="preserve"> sind begeistert von den Möglichkeiten, die dieser Markt uns eröffnet.</w:t>
      </w:r>
      <w:r w:rsidRPr="0041570A">
        <w:rPr>
          <w:rFonts w:ascii="Arial" w:hAnsi="Arial" w:cs="Arial"/>
        </w:rPr>
        <w:t>»</w:t>
      </w:r>
    </w:p>
    <w:p w14:paraId="37395528" w14:textId="7F21817E" w:rsidR="00372097" w:rsidRPr="005950EE" w:rsidRDefault="00027B13" w:rsidP="005950EE">
      <w:pPr>
        <w:autoSpaceDE w:val="0"/>
        <w:autoSpaceDN w:val="0"/>
        <w:adjustRightInd w:val="0"/>
        <w:spacing w:after="0" w:line="240" w:lineRule="auto"/>
        <w:rPr>
          <w:rFonts w:ascii="Arial" w:hAnsi="Arial" w:cs="Arial"/>
          <w:b/>
          <w:bCs/>
        </w:rPr>
      </w:pPr>
      <w:r>
        <w:rPr>
          <w:rFonts w:ascii="Arial" w:hAnsi="Arial" w:cs="Arial"/>
          <w:b/>
          <w:bCs/>
        </w:rPr>
        <w:t xml:space="preserve">Der </w:t>
      </w:r>
      <w:r w:rsidR="00C55F17">
        <w:rPr>
          <w:rFonts w:ascii="Arial" w:hAnsi="Arial" w:cs="Arial"/>
          <w:b/>
          <w:bCs/>
        </w:rPr>
        <w:t>Nahe Osten als vielversprechende</w:t>
      </w:r>
      <w:r>
        <w:rPr>
          <w:rFonts w:ascii="Arial" w:hAnsi="Arial" w:cs="Arial"/>
          <w:b/>
          <w:bCs/>
        </w:rPr>
        <w:t xml:space="preserve">s </w:t>
      </w:r>
      <w:proofErr w:type="spellStart"/>
      <w:r w:rsidR="00677B22">
        <w:rPr>
          <w:rFonts w:ascii="Arial" w:hAnsi="Arial" w:cs="Arial"/>
          <w:b/>
          <w:bCs/>
        </w:rPr>
        <w:t>Kryptozentrum</w:t>
      </w:r>
      <w:proofErr w:type="spellEnd"/>
    </w:p>
    <w:p w14:paraId="13DC37F4" w14:textId="5CE5E176" w:rsidR="00A1565D" w:rsidRPr="00A1565D" w:rsidRDefault="00A1565D" w:rsidP="00A1565D">
      <w:pPr>
        <w:rPr>
          <w:rFonts w:ascii="Arial" w:hAnsi="Arial" w:cs="Arial"/>
        </w:rPr>
      </w:pPr>
      <w:r w:rsidRPr="00A1565D">
        <w:rPr>
          <w:rFonts w:ascii="Arial" w:hAnsi="Arial" w:cs="Arial"/>
        </w:rPr>
        <w:t xml:space="preserve">Der Nahe Osten ist ein Krypto-Hotspot. Das 21Shares-Forschungsteam fand heraus, dass </w:t>
      </w:r>
      <w:r w:rsidR="005C3C9A">
        <w:rPr>
          <w:rFonts w:ascii="Arial" w:hAnsi="Arial" w:cs="Arial"/>
        </w:rPr>
        <w:t xml:space="preserve">2021 in </w:t>
      </w:r>
      <w:r w:rsidR="008B6229">
        <w:rPr>
          <w:rFonts w:ascii="Arial" w:hAnsi="Arial" w:cs="Arial"/>
        </w:rPr>
        <w:t>k</w:t>
      </w:r>
      <w:r w:rsidR="005C3C9A">
        <w:rPr>
          <w:rFonts w:ascii="Arial" w:hAnsi="Arial" w:cs="Arial"/>
        </w:rPr>
        <w:t>eine</w:t>
      </w:r>
      <w:r w:rsidR="008B6229">
        <w:rPr>
          <w:rFonts w:ascii="Arial" w:hAnsi="Arial" w:cs="Arial"/>
        </w:rPr>
        <w:t xml:space="preserve">m anderen </w:t>
      </w:r>
      <w:r w:rsidR="001F29E1">
        <w:rPr>
          <w:rFonts w:ascii="Arial" w:hAnsi="Arial" w:cs="Arial"/>
        </w:rPr>
        <w:t xml:space="preserve">arabischen Land </w:t>
      </w:r>
      <w:r w:rsidR="008B6229">
        <w:rPr>
          <w:rFonts w:ascii="Arial" w:hAnsi="Arial" w:cs="Arial"/>
        </w:rPr>
        <w:t xml:space="preserve">mehr Kryptowährungen gehandelt wurden als </w:t>
      </w:r>
      <w:r w:rsidR="001F29E1">
        <w:rPr>
          <w:rFonts w:ascii="Arial" w:hAnsi="Arial" w:cs="Arial"/>
        </w:rPr>
        <w:t xml:space="preserve">in den VAE. </w:t>
      </w:r>
      <w:r w:rsidRPr="00A1565D">
        <w:rPr>
          <w:rFonts w:ascii="Arial" w:hAnsi="Arial" w:cs="Arial"/>
        </w:rPr>
        <w:t xml:space="preserve"> Darüber hinaus hat sich die Region in letzter Zeit zu einer </w:t>
      </w:r>
      <w:proofErr w:type="spellStart"/>
      <w:r w:rsidR="002478C7">
        <w:rPr>
          <w:rFonts w:ascii="Arial" w:hAnsi="Arial" w:cs="Arial"/>
        </w:rPr>
        <w:t>Schlüssselregion</w:t>
      </w:r>
      <w:proofErr w:type="spellEnd"/>
      <w:r w:rsidRPr="00A1565D">
        <w:rPr>
          <w:rFonts w:ascii="Arial" w:hAnsi="Arial" w:cs="Arial"/>
        </w:rPr>
        <w:t xml:space="preserve"> für </w:t>
      </w:r>
      <w:proofErr w:type="spellStart"/>
      <w:r w:rsidRPr="00A1565D">
        <w:rPr>
          <w:rFonts w:ascii="Arial" w:hAnsi="Arial" w:cs="Arial"/>
        </w:rPr>
        <w:t>Kryptounternehmen</w:t>
      </w:r>
      <w:proofErr w:type="spellEnd"/>
      <w:r w:rsidRPr="00A1565D">
        <w:rPr>
          <w:rFonts w:ascii="Arial" w:hAnsi="Arial" w:cs="Arial"/>
        </w:rPr>
        <w:t xml:space="preserve"> und -börsen wie FTX, Kraken und Blockchain.com entwickelt, insbesondere nach der Entscheidung Indiens, Gewinne aus Kryptowährungen mit 30 Prozent zu besteuern. Das gro</w:t>
      </w:r>
      <w:r w:rsidR="00C6691C">
        <w:rPr>
          <w:rFonts w:ascii="Arial" w:hAnsi="Arial" w:cs="Arial"/>
        </w:rPr>
        <w:t>ss</w:t>
      </w:r>
      <w:r w:rsidRPr="00A1565D">
        <w:rPr>
          <w:rFonts w:ascii="Arial" w:hAnsi="Arial" w:cs="Arial"/>
        </w:rPr>
        <w:t xml:space="preserve">e Interesse und die </w:t>
      </w:r>
      <w:proofErr w:type="spellStart"/>
      <w:r w:rsidRPr="00A1565D">
        <w:rPr>
          <w:rFonts w:ascii="Arial" w:hAnsi="Arial" w:cs="Arial"/>
        </w:rPr>
        <w:t>Kryptofreundlichkeit</w:t>
      </w:r>
      <w:proofErr w:type="spellEnd"/>
      <w:r w:rsidRPr="00A1565D">
        <w:rPr>
          <w:rFonts w:ascii="Arial" w:hAnsi="Arial" w:cs="Arial"/>
        </w:rPr>
        <w:t xml:space="preserve"> des Nahen Ostens machen </w:t>
      </w:r>
      <w:r w:rsidR="000C0A6E">
        <w:rPr>
          <w:rFonts w:ascii="Arial" w:hAnsi="Arial" w:cs="Arial"/>
        </w:rPr>
        <w:t>diesen</w:t>
      </w:r>
      <w:r w:rsidR="000C0A6E" w:rsidRPr="00A1565D">
        <w:rPr>
          <w:rFonts w:ascii="Arial" w:hAnsi="Arial" w:cs="Arial"/>
        </w:rPr>
        <w:t xml:space="preserve"> </w:t>
      </w:r>
      <w:r w:rsidRPr="00A1565D">
        <w:rPr>
          <w:rFonts w:ascii="Arial" w:hAnsi="Arial" w:cs="Arial"/>
        </w:rPr>
        <w:t>zu einem erstklassigen Markt für die Expansion.</w:t>
      </w:r>
    </w:p>
    <w:p w14:paraId="77464931" w14:textId="69DDF26A" w:rsidR="00E13A58" w:rsidRDefault="00E13A58" w:rsidP="00E13A58">
      <w:pPr>
        <w:jc w:val="center"/>
        <w:rPr>
          <w:lang w:val="en-US"/>
        </w:rPr>
      </w:pPr>
      <w:r w:rsidRPr="00580BC3">
        <w:rPr>
          <w:lang w:val="en-US"/>
        </w:rPr>
        <w:t>###</w:t>
      </w:r>
    </w:p>
    <w:p w14:paraId="7C3EF007" w14:textId="77777777" w:rsidR="00023248" w:rsidRPr="00023248" w:rsidRDefault="00023248" w:rsidP="0084119A">
      <w:pPr>
        <w:spacing w:after="0" w:line="276" w:lineRule="auto"/>
        <w:rPr>
          <w:rFonts w:ascii="Arial" w:hAnsi="Arial" w:cs="Arial"/>
          <w:b/>
          <w:lang w:val="en-US"/>
        </w:rPr>
      </w:pPr>
      <w:proofErr w:type="spellStart"/>
      <w:r w:rsidRPr="00023248">
        <w:rPr>
          <w:rFonts w:ascii="Arial" w:hAnsi="Arial" w:cs="Arial"/>
          <w:b/>
          <w:lang w:val="en-US"/>
        </w:rPr>
        <w:t>Pressekontakt</w:t>
      </w:r>
      <w:proofErr w:type="spellEnd"/>
      <w:r w:rsidRPr="00023248">
        <w:rPr>
          <w:rFonts w:ascii="Arial" w:hAnsi="Arial" w:cs="Arial"/>
          <w:b/>
          <w:lang w:val="en-US"/>
        </w:rPr>
        <w:t>:</w:t>
      </w:r>
    </w:p>
    <w:p w14:paraId="19C5DBCA" w14:textId="0C1C03B7" w:rsidR="00023248" w:rsidRDefault="00023248" w:rsidP="003B59F8">
      <w:pPr>
        <w:spacing w:after="0" w:line="276" w:lineRule="auto"/>
        <w:rPr>
          <w:rFonts w:ascii="Arial" w:hAnsi="Arial" w:cs="Arial"/>
          <w:color w:val="1155CC"/>
          <w:u w:val="single"/>
          <w:lang w:val="en-US"/>
        </w:rPr>
      </w:pPr>
      <w:r w:rsidRPr="00023248">
        <w:rPr>
          <w:rFonts w:ascii="Arial" w:hAnsi="Arial" w:cs="Arial"/>
          <w:lang w:val="en-US"/>
        </w:rPr>
        <w:t xml:space="preserve">Arielle Sobel, Head of Global Communications, </w:t>
      </w:r>
      <w:hyperlink r:id="rId11" w:history="1">
        <w:r w:rsidR="007A3F0B" w:rsidRPr="007A3F0B">
          <w:rPr>
            <w:rFonts w:ascii="Arial" w:eastAsia="Arial" w:hAnsi="Arial" w:cs="Arial"/>
            <w:color w:val="1155CC"/>
            <w:highlight w:val="white"/>
            <w:u w:val="single"/>
            <w:lang w:val="en"/>
          </w:rPr>
          <w:t>press@21.co</w:t>
        </w:r>
      </w:hyperlink>
    </w:p>
    <w:p w14:paraId="4523FB1C" w14:textId="77777777" w:rsidR="00A8767A" w:rsidRPr="00A8767A" w:rsidRDefault="00A8767A" w:rsidP="003B59F8">
      <w:pPr>
        <w:spacing w:after="0" w:line="276" w:lineRule="auto"/>
        <w:rPr>
          <w:rFonts w:ascii="Arial" w:eastAsia="Arial" w:hAnsi="Arial" w:cs="Arial"/>
          <w:sz w:val="20"/>
          <w:szCs w:val="20"/>
          <w:lang w:val="en"/>
        </w:rPr>
      </w:pPr>
      <w:r w:rsidRPr="00A8767A">
        <w:rPr>
          <w:rFonts w:ascii="Arial" w:eastAsia="Arial" w:hAnsi="Arial" w:cs="Arial"/>
          <w:highlight w:val="white"/>
          <w:lang w:val="en"/>
        </w:rPr>
        <w:t xml:space="preserve">Megan Enright, Communications Manager, </w:t>
      </w:r>
      <w:hyperlink r:id="rId12">
        <w:r w:rsidRPr="00A8767A">
          <w:rPr>
            <w:rFonts w:ascii="Arial" w:eastAsia="Arial" w:hAnsi="Arial" w:cs="Arial"/>
            <w:color w:val="1155CC"/>
            <w:highlight w:val="white"/>
            <w:u w:val="single"/>
            <w:lang w:val="en"/>
          </w:rPr>
          <w:t>press@21.co</w:t>
        </w:r>
      </w:hyperlink>
      <w:r w:rsidRPr="00A8767A">
        <w:rPr>
          <w:rFonts w:ascii="Arial" w:eastAsia="Arial" w:hAnsi="Arial" w:cs="Arial"/>
          <w:highlight w:val="white"/>
          <w:lang w:val="en"/>
        </w:rPr>
        <w:t xml:space="preserve"> </w:t>
      </w:r>
    </w:p>
    <w:p w14:paraId="338C78EF" w14:textId="77777777" w:rsidR="00A8767A" w:rsidRPr="00023248" w:rsidRDefault="00A8767A" w:rsidP="003B59F8">
      <w:pPr>
        <w:spacing w:line="276" w:lineRule="auto"/>
        <w:rPr>
          <w:rFonts w:ascii="Arial" w:hAnsi="Arial" w:cs="Arial"/>
          <w:b/>
          <w:lang w:val="en-US"/>
        </w:rPr>
      </w:pPr>
    </w:p>
    <w:p w14:paraId="1A92149A" w14:textId="77777777" w:rsidR="00E54E51" w:rsidRDefault="00E54E51" w:rsidP="003B59F8">
      <w:pPr>
        <w:spacing w:after="0" w:line="276" w:lineRule="auto"/>
        <w:rPr>
          <w:rFonts w:ascii="Arial" w:eastAsia="Arial" w:hAnsi="Arial" w:cs="Arial"/>
          <w:b/>
          <w:lang w:val="en-US"/>
        </w:rPr>
      </w:pPr>
      <w:proofErr w:type="spellStart"/>
      <w:r w:rsidRPr="00E54E51">
        <w:rPr>
          <w:rFonts w:ascii="Arial" w:eastAsia="Arial" w:hAnsi="Arial" w:cs="Arial"/>
          <w:b/>
          <w:lang w:val="en-US"/>
        </w:rPr>
        <w:lastRenderedPageBreak/>
        <w:t>Über</w:t>
      </w:r>
      <w:proofErr w:type="spellEnd"/>
      <w:r w:rsidRPr="00E54E51">
        <w:rPr>
          <w:rFonts w:ascii="Arial" w:eastAsia="Arial" w:hAnsi="Arial" w:cs="Arial"/>
          <w:b/>
          <w:lang w:val="en-US"/>
        </w:rPr>
        <w:t xml:space="preserve"> 21.co:</w:t>
      </w:r>
    </w:p>
    <w:p w14:paraId="538878F6" w14:textId="7E3B02D2" w:rsidR="00B23FBA" w:rsidRPr="00B23FBA" w:rsidRDefault="00B23FBA" w:rsidP="00B23FBA">
      <w:pPr>
        <w:spacing w:after="0" w:line="276" w:lineRule="auto"/>
        <w:rPr>
          <w:rFonts w:ascii="Arial" w:eastAsia="Arial" w:hAnsi="Arial" w:cs="Arial"/>
        </w:rPr>
      </w:pPr>
      <w:r w:rsidRPr="00B23FBA">
        <w:rPr>
          <w:rFonts w:ascii="Arial" w:eastAsia="Arial" w:hAnsi="Arial" w:cs="Arial"/>
        </w:rPr>
        <w:t>21.co ist ein führender Anbieter von Produkten, die den einfachen Zugang in die Krypto-Welt bieten. Das Tochterunternehmen 21Shares ist der weltweit grö</w:t>
      </w:r>
      <w:r>
        <w:rPr>
          <w:rFonts w:ascii="Arial" w:eastAsia="Arial" w:hAnsi="Arial" w:cs="Arial"/>
        </w:rPr>
        <w:t>ss</w:t>
      </w:r>
      <w:r w:rsidRPr="00B23FBA">
        <w:rPr>
          <w:rFonts w:ascii="Arial" w:eastAsia="Arial" w:hAnsi="Arial" w:cs="Arial"/>
        </w:rPr>
        <w:t xml:space="preserve">te Emittent von börsengehandelten Produkten (ETPs) auf Basis von </w:t>
      </w:r>
      <w:proofErr w:type="spellStart"/>
      <w:r w:rsidRPr="00B23FBA">
        <w:rPr>
          <w:rFonts w:ascii="Arial" w:eastAsia="Arial" w:hAnsi="Arial" w:cs="Arial"/>
        </w:rPr>
        <w:t>Kryptoassets</w:t>
      </w:r>
      <w:proofErr w:type="spellEnd"/>
      <w:r w:rsidRPr="00B23FBA">
        <w:rPr>
          <w:rFonts w:ascii="Arial" w:eastAsia="Arial" w:hAnsi="Arial" w:cs="Arial"/>
        </w:rPr>
        <w:t xml:space="preserve">. Die ETPs werden auf Onyx, einer firmeneigenen Technologieplattform bereitgestellt, die sowohl von 21Shares als auch von Drittpartnern für die Emission und das operative Geschäft mit </w:t>
      </w:r>
      <w:proofErr w:type="spellStart"/>
      <w:r w:rsidRPr="00B23FBA">
        <w:rPr>
          <w:rFonts w:ascii="Arial" w:eastAsia="Arial" w:hAnsi="Arial" w:cs="Arial"/>
        </w:rPr>
        <w:t>Kryptowährungs</w:t>
      </w:r>
      <w:proofErr w:type="spellEnd"/>
      <w:r w:rsidRPr="00B23FBA">
        <w:rPr>
          <w:rFonts w:ascii="Arial" w:eastAsia="Arial" w:hAnsi="Arial" w:cs="Arial"/>
        </w:rPr>
        <w:t xml:space="preserve">-ETPs genutzt wird. Amun, ein Token-Provider, der den Zugang zur </w:t>
      </w:r>
      <w:proofErr w:type="spellStart"/>
      <w:r w:rsidRPr="00B23FBA">
        <w:rPr>
          <w:rFonts w:ascii="Arial" w:eastAsia="Arial" w:hAnsi="Arial" w:cs="Arial"/>
        </w:rPr>
        <w:t>DeFi</w:t>
      </w:r>
      <w:proofErr w:type="spellEnd"/>
      <w:r w:rsidRPr="00B23FBA">
        <w:rPr>
          <w:rFonts w:ascii="Arial" w:eastAsia="Arial" w:hAnsi="Arial" w:cs="Arial"/>
        </w:rPr>
        <w:t xml:space="preserve">-Branche erleichtert, ist ebenfalls Teil von 21.co. Das Unternehmen wurde 2018 von Hany </w:t>
      </w:r>
      <w:proofErr w:type="spellStart"/>
      <w:r w:rsidRPr="00B23FBA">
        <w:rPr>
          <w:rFonts w:ascii="Arial" w:eastAsia="Arial" w:hAnsi="Arial" w:cs="Arial"/>
        </w:rPr>
        <w:t>Rashwan</w:t>
      </w:r>
      <w:proofErr w:type="spellEnd"/>
      <w:r w:rsidRPr="00B23FBA">
        <w:rPr>
          <w:rFonts w:ascii="Arial" w:eastAsia="Arial" w:hAnsi="Arial" w:cs="Arial"/>
        </w:rPr>
        <w:t xml:space="preserve"> und Ophelia Snyder gegründet</w:t>
      </w:r>
      <w:r w:rsidR="00CF0D9B">
        <w:rPr>
          <w:rFonts w:ascii="Arial" w:eastAsia="Arial" w:hAnsi="Arial" w:cs="Arial"/>
        </w:rPr>
        <w:t xml:space="preserve">, ist </w:t>
      </w:r>
      <w:r w:rsidRPr="00B23FBA">
        <w:rPr>
          <w:rFonts w:ascii="Arial" w:eastAsia="Arial" w:hAnsi="Arial" w:cs="Arial"/>
        </w:rPr>
        <w:t>in Zug</w:t>
      </w:r>
      <w:r w:rsidR="00CF0D9B">
        <w:rPr>
          <w:rFonts w:ascii="Arial" w:eastAsia="Arial" w:hAnsi="Arial" w:cs="Arial"/>
        </w:rPr>
        <w:t xml:space="preserve"> registriert und hat</w:t>
      </w:r>
      <w:r w:rsidRPr="00B23FBA">
        <w:rPr>
          <w:rFonts w:ascii="Arial" w:eastAsia="Arial" w:hAnsi="Arial" w:cs="Arial"/>
        </w:rPr>
        <w:t xml:space="preserve"> Büros in Zürich und New York. </w:t>
      </w:r>
    </w:p>
    <w:p w14:paraId="7787C1CE" w14:textId="77777777" w:rsidR="00B23FBA" w:rsidRPr="00B23FBA" w:rsidRDefault="00B23FBA" w:rsidP="003B59F8">
      <w:pPr>
        <w:spacing w:after="0" w:line="276" w:lineRule="auto"/>
        <w:rPr>
          <w:rFonts w:ascii="Arial" w:eastAsia="Arial" w:hAnsi="Arial" w:cs="Arial"/>
        </w:rPr>
      </w:pPr>
    </w:p>
    <w:p w14:paraId="2C682701" w14:textId="7F10A76D" w:rsidR="0091447B" w:rsidRDefault="00E3042C" w:rsidP="003B59F8">
      <w:pPr>
        <w:spacing w:after="0" w:line="276" w:lineRule="auto"/>
        <w:rPr>
          <w:rFonts w:ascii="Arial" w:eastAsia="Arial" w:hAnsi="Arial" w:cs="Arial"/>
        </w:rPr>
      </w:pPr>
      <w:r>
        <w:rPr>
          <w:rFonts w:ascii="Arial" w:eastAsia="Arial" w:hAnsi="Arial" w:cs="Arial"/>
        </w:rPr>
        <w:t xml:space="preserve">Die </w:t>
      </w:r>
      <w:r w:rsidR="00FA1765">
        <w:rPr>
          <w:rFonts w:ascii="Arial" w:eastAsia="Arial" w:hAnsi="Arial" w:cs="Arial"/>
        </w:rPr>
        <w:t>englische</w:t>
      </w:r>
      <w:r>
        <w:rPr>
          <w:rFonts w:ascii="Arial" w:eastAsia="Arial" w:hAnsi="Arial" w:cs="Arial"/>
        </w:rPr>
        <w:t xml:space="preserve"> Medienmitteilung von 21 Shares finden </w:t>
      </w:r>
      <w:r w:rsidRPr="00806DEC">
        <w:rPr>
          <w:rFonts w:ascii="Arial" w:eastAsia="Arial" w:hAnsi="Arial" w:cs="Arial"/>
          <w:shd w:val="clear" w:color="auto" w:fill="FFFFFF" w:themeFill="background1"/>
        </w:rPr>
        <w:t xml:space="preserve">Sie </w:t>
      </w:r>
      <w:hyperlink r:id="rId13" w:history="1">
        <w:r w:rsidRPr="00806DEC">
          <w:rPr>
            <w:rFonts w:ascii="Arial" w:hAnsi="Arial" w:cs="Arial"/>
            <w:color w:val="1155CC"/>
            <w:u w:val="single"/>
          </w:rPr>
          <w:t>hier</w:t>
        </w:r>
      </w:hyperlink>
      <w:r w:rsidRPr="00806DEC">
        <w:rPr>
          <w:rFonts w:ascii="Arial" w:eastAsia="Arial" w:hAnsi="Arial" w:cs="Arial"/>
          <w:shd w:val="clear" w:color="auto" w:fill="FFFFFF" w:themeFill="background1"/>
        </w:rPr>
        <w:t>.</w:t>
      </w:r>
      <w:r>
        <w:rPr>
          <w:rFonts w:ascii="Arial" w:eastAsia="Arial" w:hAnsi="Arial" w:cs="Arial"/>
        </w:rPr>
        <w:t xml:space="preserve"> </w:t>
      </w:r>
    </w:p>
    <w:p w14:paraId="51A03C15" w14:textId="34F10DD4" w:rsidR="00E54E51" w:rsidRPr="00E54E51" w:rsidRDefault="00E54E51" w:rsidP="003B59F8">
      <w:pPr>
        <w:spacing w:after="0" w:line="276" w:lineRule="auto"/>
        <w:rPr>
          <w:rFonts w:ascii="Arial" w:eastAsia="Arial" w:hAnsi="Arial" w:cs="Arial"/>
        </w:rPr>
      </w:pPr>
      <w:r w:rsidRPr="00E54E51">
        <w:rPr>
          <w:rFonts w:ascii="Arial" w:eastAsia="Arial" w:hAnsi="Arial" w:cs="Arial"/>
        </w:rPr>
        <w:t>Weitere Informationen</w:t>
      </w:r>
      <w:r w:rsidR="0091447B">
        <w:rPr>
          <w:rFonts w:ascii="Arial" w:eastAsia="Arial" w:hAnsi="Arial" w:cs="Arial"/>
        </w:rPr>
        <w:t>:</w:t>
      </w:r>
      <w:r w:rsidRPr="00E54E51">
        <w:rPr>
          <w:rFonts w:ascii="Arial" w:eastAsia="Arial" w:hAnsi="Arial" w:cs="Arial"/>
        </w:rPr>
        <w:t xml:space="preserve"> </w:t>
      </w:r>
      <w:hyperlink r:id="rId14">
        <w:r w:rsidRPr="00E54E51">
          <w:rPr>
            <w:rFonts w:ascii="Arial" w:hAnsi="Arial" w:cs="Arial"/>
            <w:color w:val="1155CC"/>
            <w:u w:val="single"/>
          </w:rPr>
          <w:t>www.21.co</w:t>
        </w:r>
      </w:hyperlink>
      <w:r w:rsidRPr="00E54E51">
        <w:rPr>
          <w:rFonts w:ascii="Arial" w:eastAsia="Arial" w:hAnsi="Arial" w:cs="Arial"/>
        </w:rPr>
        <w:t>.</w:t>
      </w:r>
    </w:p>
    <w:p w14:paraId="2DFC6126" w14:textId="77777777" w:rsidR="00370205" w:rsidRDefault="00370205" w:rsidP="003B59F8">
      <w:pPr>
        <w:autoSpaceDE w:val="0"/>
        <w:autoSpaceDN w:val="0"/>
        <w:adjustRightInd w:val="0"/>
        <w:spacing w:after="0" w:line="276" w:lineRule="auto"/>
        <w:rPr>
          <w:rFonts w:ascii="Arial" w:hAnsi="Arial" w:cs="Arial"/>
        </w:rPr>
      </w:pPr>
    </w:p>
    <w:p w14:paraId="23BC4A2D" w14:textId="77777777" w:rsidR="00630745" w:rsidRDefault="00630745" w:rsidP="003B59F8">
      <w:pPr>
        <w:autoSpaceDE w:val="0"/>
        <w:autoSpaceDN w:val="0"/>
        <w:adjustRightInd w:val="0"/>
        <w:spacing w:after="0" w:line="276" w:lineRule="auto"/>
        <w:rPr>
          <w:rFonts w:ascii="Arial" w:hAnsi="Arial" w:cs="Arial"/>
        </w:rPr>
      </w:pPr>
    </w:p>
    <w:p w14:paraId="5A6E0A95" w14:textId="77777777" w:rsidR="00630745" w:rsidRPr="00630745" w:rsidRDefault="00630745" w:rsidP="00630745">
      <w:pPr>
        <w:spacing w:after="0" w:line="240" w:lineRule="auto"/>
        <w:jc w:val="both"/>
        <w:rPr>
          <w:rFonts w:ascii="Calibri" w:eastAsia="Calibri" w:hAnsi="Calibri" w:cs="Calibri"/>
          <w:color w:val="595959"/>
          <w:sz w:val="18"/>
          <w:szCs w:val="18"/>
          <w:lang w:val="en-US"/>
        </w:rPr>
      </w:pPr>
      <w:r w:rsidRPr="00630745">
        <w:rPr>
          <w:rFonts w:ascii="Calibri" w:eastAsia="Calibri" w:hAnsi="Calibri" w:cs="Calibri"/>
          <w:b/>
          <w:color w:val="595959"/>
          <w:sz w:val="18"/>
          <w:szCs w:val="18"/>
          <w:lang w:val="en-US"/>
        </w:rPr>
        <w:t>Disclaimer:</w:t>
      </w:r>
      <w:r w:rsidRPr="00630745">
        <w:rPr>
          <w:rFonts w:ascii="Calibri" w:eastAsia="Calibri" w:hAnsi="Calibri" w:cs="Calibri"/>
          <w:color w:val="595959"/>
          <w:sz w:val="18"/>
          <w:szCs w:val="18"/>
          <w:u w:val="single"/>
          <w:lang w:val="en-US"/>
        </w:rPr>
        <w:br/>
      </w:r>
      <w:r w:rsidRPr="00630745">
        <w:rPr>
          <w:rFonts w:ascii="Calibri" w:eastAsia="Calibri" w:hAnsi="Calibri" w:cs="Calibri"/>
          <w:color w:val="595959"/>
          <w:sz w:val="18"/>
          <w:szCs w:val="18"/>
          <w:lang w:val="en-US"/>
        </w:rPr>
        <w:t>This document is not an offer to sell or a solicitation of an offer to buy or subscribe for securities of 21Shares AG. Neither this document nor anything contained herein shall form the basis of, or be relied upon in connection with, any offer or commitment whatsoever in any jurisdiction. This document constitutes advertisement within the meaning of the Swiss Financial Services Act and not a prospectus. This document and the information contained herein are not for distribution in or into (directly or indirectly) the United States, Canada, Australia or Japan or any other jurisdiction in which the distribution or release would be unlawful. This document does not constitute an offer of securities to sell or a solicitation of an offer to purchase in or into the United States, Canada, Australia, or Japan. The securities of 21Shares AG to which these materials relate have not been and will not be registered under the United States Securities Act of 1933, as amended (the "Securities Act"), and may not be offered or sold in the United States absent registration or an applicable exemption from, or in a transaction not subject to, the registration requirements of the Securities Act. There will not be a public offering of securities in the United States. This document is only being distributed to and is only directed at: (</w:t>
      </w:r>
      <w:proofErr w:type="spellStart"/>
      <w:r w:rsidRPr="00630745">
        <w:rPr>
          <w:rFonts w:ascii="Calibri" w:eastAsia="Calibri" w:hAnsi="Calibri" w:cs="Calibri"/>
          <w:color w:val="595959"/>
          <w:sz w:val="18"/>
          <w:szCs w:val="18"/>
          <w:lang w:val="en-US"/>
        </w:rPr>
        <w:t>i</w:t>
      </w:r>
      <w:proofErr w:type="spellEnd"/>
      <w:r w:rsidRPr="00630745">
        <w:rPr>
          <w:rFonts w:ascii="Calibri" w:eastAsia="Calibri" w:hAnsi="Calibri" w:cs="Calibri"/>
          <w:color w:val="595959"/>
          <w:sz w:val="18"/>
          <w:szCs w:val="18"/>
          <w:lang w:val="en-US"/>
        </w:rPr>
        <w:t>) to investment professionals falling within Article 19(5) of the Financial Services and Markets Act 2000 (Financial Promotion) Order 2005 (the "Order"); or (ii) high net worth entities, and other persons to whom it may lawfully be communicated, falling within Article 49(2)(a) to (d) of the Order (all such persons together being referred to as "relevant persons"); or (iii) persons who fall within Article 43(2) of the Order, including existing members and creditors of the Company or (iv) any other persons to whom this document can be lawfully distributed in circumstances where section 21(1) of the FSMA does not apply. The Securities are only available to, and any invitation, offer or agreement to subscribe, purchase or otherwise acquire such securities will be engaged in only with, relevant persons. Any person who is not a relevant person should not act or rely on this document or any of its contents. In any EEA Member State (other than the France, Germany, Italy, Austria, Belgium, Croatia, Czech Republic, Denmark, Finland, Hungary, Ireland, Luxembourg, Malta, Netherlands, Norway, Poland, Romania, Slovakia, Spain, Lichtenstein) that has implemented the Prospectus Regulation (EU) 2017/1129, together with any applicable implementing measures in any Member State, the "Prospectus Regulation") this communication is only addressed to and is only directed at qualified investors in that Member State within the meaning of the Prospectus Regulation. Exclusively for potential investors in France, Germany, Italy, Austria, Belgium, Croatia, Czech Republic, Denmark, Finland, Hungary, Ireland, Luxembourg, Malta, Netherlands, Norway, Poland, Romania, Slovakia, Spain, Liechtenstein the 2021 Base Prospectus (EU) is made available on the Issuer's website under</w:t>
      </w:r>
      <w:hyperlink r:id="rId15" w:history="1">
        <w:r w:rsidRPr="00630745">
          <w:rPr>
            <w:rStyle w:val="Hyperlink"/>
            <w:rFonts w:ascii="Calibri" w:eastAsia="Calibri" w:hAnsi="Calibri" w:cs="Calibri"/>
            <w:color w:val="595959"/>
            <w:sz w:val="18"/>
            <w:szCs w:val="18"/>
            <w:lang w:val="en-US"/>
          </w:rPr>
          <w:t xml:space="preserve"> www.21Shares.com</w:t>
        </w:r>
      </w:hyperlink>
      <w:r w:rsidRPr="00630745">
        <w:rPr>
          <w:rFonts w:ascii="Calibri" w:eastAsia="Calibri" w:hAnsi="Calibri" w:cs="Calibri"/>
          <w:color w:val="595959"/>
          <w:sz w:val="18"/>
          <w:szCs w:val="18"/>
          <w:lang w:val="en-US"/>
        </w:rPr>
        <w:t>. The approval of the 2021 Base Prospectus (EU) should not be understood as an endorsement by the SFSA of the securities offered or admitted to trading on a regulated market. Eligible potential investors should read the 2021 Base Prospectus (EU) and the relevant Final Terms before making an investment decision in order to understand the potential risks associated with the decision to invest in the securities.</w:t>
      </w:r>
    </w:p>
    <w:p w14:paraId="6C5F4D77" w14:textId="77777777" w:rsidR="00630745" w:rsidRPr="00630745" w:rsidRDefault="00630745" w:rsidP="003B59F8">
      <w:pPr>
        <w:autoSpaceDE w:val="0"/>
        <w:autoSpaceDN w:val="0"/>
        <w:adjustRightInd w:val="0"/>
        <w:spacing w:after="0" w:line="276" w:lineRule="auto"/>
        <w:rPr>
          <w:rFonts w:ascii="Arial" w:hAnsi="Arial" w:cs="Arial"/>
          <w:lang w:val="en-US"/>
        </w:rPr>
      </w:pPr>
    </w:p>
    <w:sectPr w:rsidR="00630745" w:rsidRPr="00630745" w:rsidSect="004279E5">
      <w:headerReference w:type="default" r:id="rId16"/>
      <w:footerReference w:type="default" r:id="rId17"/>
      <w:pgSz w:w="11906" w:h="16838"/>
      <w:pgMar w:top="1560" w:right="1417" w:bottom="851"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5ECF" w14:textId="77777777" w:rsidR="00C40799" w:rsidRDefault="00C40799" w:rsidP="00BA31D9">
      <w:pPr>
        <w:spacing w:after="0" w:line="240" w:lineRule="auto"/>
      </w:pPr>
      <w:r>
        <w:separator/>
      </w:r>
    </w:p>
  </w:endnote>
  <w:endnote w:type="continuationSeparator" w:id="0">
    <w:p w14:paraId="399EFF04" w14:textId="77777777" w:rsidR="00C40799" w:rsidRDefault="00C40799" w:rsidP="00BA31D9">
      <w:pPr>
        <w:spacing w:after="0" w:line="240" w:lineRule="auto"/>
      </w:pPr>
      <w:r>
        <w:continuationSeparator/>
      </w:r>
    </w:p>
  </w:endnote>
  <w:endnote w:type="continuationNotice" w:id="1">
    <w:p w14:paraId="4E3497C8" w14:textId="77777777" w:rsidR="00C40799" w:rsidRDefault="00C40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07531"/>
      <w:docPartObj>
        <w:docPartGallery w:val="Page Numbers (Bottom of Page)"/>
        <w:docPartUnique/>
      </w:docPartObj>
    </w:sdtPr>
    <w:sdtContent>
      <w:p w14:paraId="08AD6513" w14:textId="6AAC4186" w:rsidR="00BA31D9" w:rsidRDefault="00BA31D9">
        <w:pPr>
          <w:pStyle w:val="Fuzeile"/>
          <w:jc w:val="right"/>
        </w:pPr>
        <w:r>
          <w:fldChar w:fldCharType="begin"/>
        </w:r>
        <w:r>
          <w:instrText>PAGE   \* MERGEFORMAT</w:instrText>
        </w:r>
        <w:r>
          <w:fldChar w:fldCharType="separate"/>
        </w:r>
        <w:r>
          <w:rPr>
            <w:lang w:val="de-DE"/>
          </w:rPr>
          <w:t>2</w:t>
        </w:r>
        <w:r>
          <w:fldChar w:fldCharType="end"/>
        </w:r>
      </w:p>
    </w:sdtContent>
  </w:sdt>
  <w:p w14:paraId="532A9F24" w14:textId="77777777" w:rsidR="00BA31D9" w:rsidRDefault="00BA3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C374" w14:textId="77777777" w:rsidR="00C40799" w:rsidRDefault="00C40799" w:rsidP="00BA31D9">
      <w:pPr>
        <w:spacing w:after="0" w:line="240" w:lineRule="auto"/>
      </w:pPr>
      <w:r>
        <w:separator/>
      </w:r>
    </w:p>
  </w:footnote>
  <w:footnote w:type="continuationSeparator" w:id="0">
    <w:p w14:paraId="6AE5B255" w14:textId="77777777" w:rsidR="00C40799" w:rsidRDefault="00C40799" w:rsidP="00BA31D9">
      <w:pPr>
        <w:spacing w:after="0" w:line="240" w:lineRule="auto"/>
      </w:pPr>
      <w:r>
        <w:continuationSeparator/>
      </w:r>
    </w:p>
  </w:footnote>
  <w:footnote w:type="continuationNotice" w:id="1">
    <w:p w14:paraId="1157FA90" w14:textId="77777777" w:rsidR="00C40799" w:rsidRDefault="00C407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6EDF" w14:textId="0F14BD2A" w:rsidR="00BA31D9" w:rsidRDefault="00DD2D7D" w:rsidP="0073184E">
    <w:pPr>
      <w:pStyle w:val="Kopfzeile"/>
    </w:pPr>
    <w:r>
      <w:rPr>
        <w:noProof/>
        <w:color w:val="000000"/>
      </w:rPr>
      <w:drawing>
        <wp:anchor distT="0" distB="0" distL="114300" distR="114300" simplePos="0" relativeHeight="251658240" behindDoc="0" locked="0" layoutInCell="1" allowOverlap="1" wp14:anchorId="123F42C7" wp14:editId="041DD13F">
          <wp:simplePos x="0" y="0"/>
          <wp:positionH relativeFrom="margin">
            <wp:align>right</wp:align>
          </wp:positionH>
          <wp:positionV relativeFrom="paragraph">
            <wp:posOffset>45720</wp:posOffset>
          </wp:positionV>
          <wp:extent cx="1727835" cy="215900"/>
          <wp:effectExtent l="0" t="0" r="571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27835" cy="215900"/>
                  </a:xfrm>
                  <a:prstGeom prst="rect">
                    <a:avLst/>
                  </a:prstGeom>
                  <a:ln/>
                </pic:spPr>
              </pic:pic>
            </a:graphicData>
          </a:graphic>
        </wp:anchor>
      </w:drawing>
    </w:r>
    <w:r>
      <w:rPr>
        <w:noProof/>
      </w:rPr>
      <w:drawing>
        <wp:anchor distT="0" distB="0" distL="114300" distR="114300" simplePos="0" relativeHeight="251658241" behindDoc="0" locked="0" layoutInCell="1" allowOverlap="1" wp14:anchorId="6B828894" wp14:editId="6AC306F2">
          <wp:simplePos x="0" y="0"/>
          <wp:positionH relativeFrom="column">
            <wp:posOffset>-42545</wp:posOffset>
          </wp:positionH>
          <wp:positionV relativeFrom="paragraph">
            <wp:posOffset>-11430</wp:posOffset>
          </wp:positionV>
          <wp:extent cx="946150" cy="344170"/>
          <wp:effectExtent l="0" t="0" r="6350" b="0"/>
          <wp:wrapNone/>
          <wp:docPr id="11" name="Grafik 1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14904" t="28103" r="15224" b="26417"/>
                  <a:stretch/>
                </pic:blipFill>
                <pic:spPr bwMode="auto">
                  <a:xfrm>
                    <a:off x="0" y="0"/>
                    <a:ext cx="946150" cy="34417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444C"/>
    <w:multiLevelType w:val="multilevel"/>
    <w:tmpl w:val="9E5E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043FF"/>
    <w:multiLevelType w:val="hybridMultilevel"/>
    <w:tmpl w:val="59C41C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17798867">
    <w:abstractNumId w:val="1"/>
  </w:num>
  <w:num w:numId="2" w16cid:durableId="10024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7Y0NTM1MzEFMpV0lIJTi4sz8/NACgxrAV08ic4sAAAA"/>
  </w:docVars>
  <w:rsids>
    <w:rsidRoot w:val="00064E43"/>
    <w:rsid w:val="00003738"/>
    <w:rsid w:val="000066BA"/>
    <w:rsid w:val="00012EC8"/>
    <w:rsid w:val="00023248"/>
    <w:rsid w:val="00027B13"/>
    <w:rsid w:val="00045C70"/>
    <w:rsid w:val="00064E43"/>
    <w:rsid w:val="00071233"/>
    <w:rsid w:val="000760ED"/>
    <w:rsid w:val="000A5081"/>
    <w:rsid w:val="000B4C6A"/>
    <w:rsid w:val="000B7AFA"/>
    <w:rsid w:val="000C0A6E"/>
    <w:rsid w:val="001026A4"/>
    <w:rsid w:val="001047C6"/>
    <w:rsid w:val="001320C0"/>
    <w:rsid w:val="001721BF"/>
    <w:rsid w:val="00173280"/>
    <w:rsid w:val="001A6EB5"/>
    <w:rsid w:val="001C3686"/>
    <w:rsid w:val="001D3CD1"/>
    <w:rsid w:val="001D5975"/>
    <w:rsid w:val="001E1461"/>
    <w:rsid w:val="001E1CB8"/>
    <w:rsid w:val="001E3B99"/>
    <w:rsid w:val="001E5FBB"/>
    <w:rsid w:val="001F29E1"/>
    <w:rsid w:val="00204AD1"/>
    <w:rsid w:val="00211BB6"/>
    <w:rsid w:val="00216B25"/>
    <w:rsid w:val="002318CB"/>
    <w:rsid w:val="002478C7"/>
    <w:rsid w:val="00250E9D"/>
    <w:rsid w:val="0027389F"/>
    <w:rsid w:val="00275EEB"/>
    <w:rsid w:val="00281D80"/>
    <w:rsid w:val="002941BE"/>
    <w:rsid w:val="002C05C9"/>
    <w:rsid w:val="002C4B44"/>
    <w:rsid w:val="002C5D36"/>
    <w:rsid w:val="002D4744"/>
    <w:rsid w:val="002E1E03"/>
    <w:rsid w:val="002E6076"/>
    <w:rsid w:val="002E6BDA"/>
    <w:rsid w:val="002F5C03"/>
    <w:rsid w:val="00313048"/>
    <w:rsid w:val="00317B07"/>
    <w:rsid w:val="00325B3C"/>
    <w:rsid w:val="00327C29"/>
    <w:rsid w:val="00334C50"/>
    <w:rsid w:val="00335054"/>
    <w:rsid w:val="00340530"/>
    <w:rsid w:val="00350051"/>
    <w:rsid w:val="00370205"/>
    <w:rsid w:val="00372097"/>
    <w:rsid w:val="00375F3A"/>
    <w:rsid w:val="003843B7"/>
    <w:rsid w:val="00390AF5"/>
    <w:rsid w:val="003B59F8"/>
    <w:rsid w:val="003B7FD0"/>
    <w:rsid w:val="003C1F27"/>
    <w:rsid w:val="003D0AFE"/>
    <w:rsid w:val="003D39EB"/>
    <w:rsid w:val="003F3812"/>
    <w:rsid w:val="004066EA"/>
    <w:rsid w:val="00411A67"/>
    <w:rsid w:val="004123A1"/>
    <w:rsid w:val="0041570A"/>
    <w:rsid w:val="004279E5"/>
    <w:rsid w:val="00443553"/>
    <w:rsid w:val="00487A7D"/>
    <w:rsid w:val="004B455C"/>
    <w:rsid w:val="004E6158"/>
    <w:rsid w:val="004E716A"/>
    <w:rsid w:val="004F1E7F"/>
    <w:rsid w:val="0050778B"/>
    <w:rsid w:val="00523D51"/>
    <w:rsid w:val="005339D4"/>
    <w:rsid w:val="00550396"/>
    <w:rsid w:val="0056049D"/>
    <w:rsid w:val="005623DA"/>
    <w:rsid w:val="00580BC3"/>
    <w:rsid w:val="00586DA5"/>
    <w:rsid w:val="0059330B"/>
    <w:rsid w:val="005950EE"/>
    <w:rsid w:val="00596DAE"/>
    <w:rsid w:val="005C3C9A"/>
    <w:rsid w:val="005F6ADD"/>
    <w:rsid w:val="00621F5F"/>
    <w:rsid w:val="00630745"/>
    <w:rsid w:val="0063743D"/>
    <w:rsid w:val="00652F34"/>
    <w:rsid w:val="00667F1B"/>
    <w:rsid w:val="00677B22"/>
    <w:rsid w:val="00691D50"/>
    <w:rsid w:val="006A5657"/>
    <w:rsid w:val="006A6865"/>
    <w:rsid w:val="006E3EA4"/>
    <w:rsid w:val="006F00AC"/>
    <w:rsid w:val="00700676"/>
    <w:rsid w:val="00702BE2"/>
    <w:rsid w:val="00715794"/>
    <w:rsid w:val="007258D5"/>
    <w:rsid w:val="0073184E"/>
    <w:rsid w:val="00753E14"/>
    <w:rsid w:val="00763BD9"/>
    <w:rsid w:val="007761E9"/>
    <w:rsid w:val="007A3F0B"/>
    <w:rsid w:val="007B1DA8"/>
    <w:rsid w:val="007B2378"/>
    <w:rsid w:val="007B4A9F"/>
    <w:rsid w:val="007F024E"/>
    <w:rsid w:val="0080309A"/>
    <w:rsid w:val="00806DEC"/>
    <w:rsid w:val="00810FA1"/>
    <w:rsid w:val="00824541"/>
    <w:rsid w:val="00827BC5"/>
    <w:rsid w:val="00827FD1"/>
    <w:rsid w:val="0084119A"/>
    <w:rsid w:val="00852E5A"/>
    <w:rsid w:val="00872E75"/>
    <w:rsid w:val="00886AEC"/>
    <w:rsid w:val="008B6229"/>
    <w:rsid w:val="008D4AF5"/>
    <w:rsid w:val="008E5FD0"/>
    <w:rsid w:val="008F4BCF"/>
    <w:rsid w:val="0091447B"/>
    <w:rsid w:val="0092759D"/>
    <w:rsid w:val="00947037"/>
    <w:rsid w:val="0095542F"/>
    <w:rsid w:val="00967D5B"/>
    <w:rsid w:val="0098132A"/>
    <w:rsid w:val="009A15AB"/>
    <w:rsid w:val="009C32D6"/>
    <w:rsid w:val="00A06B02"/>
    <w:rsid w:val="00A125CD"/>
    <w:rsid w:val="00A1565D"/>
    <w:rsid w:val="00A20E27"/>
    <w:rsid w:val="00A2225F"/>
    <w:rsid w:val="00A37B9D"/>
    <w:rsid w:val="00A60046"/>
    <w:rsid w:val="00A8730B"/>
    <w:rsid w:val="00A8767A"/>
    <w:rsid w:val="00A946C5"/>
    <w:rsid w:val="00A9764C"/>
    <w:rsid w:val="00AB3721"/>
    <w:rsid w:val="00AC07D4"/>
    <w:rsid w:val="00B04788"/>
    <w:rsid w:val="00B12D3C"/>
    <w:rsid w:val="00B23FBA"/>
    <w:rsid w:val="00B31E46"/>
    <w:rsid w:val="00B32E9A"/>
    <w:rsid w:val="00B36667"/>
    <w:rsid w:val="00B67A3E"/>
    <w:rsid w:val="00B80B46"/>
    <w:rsid w:val="00B927C5"/>
    <w:rsid w:val="00B958CB"/>
    <w:rsid w:val="00B96B51"/>
    <w:rsid w:val="00BA31D9"/>
    <w:rsid w:val="00BC2165"/>
    <w:rsid w:val="00BC7BE0"/>
    <w:rsid w:val="00BD11D7"/>
    <w:rsid w:val="00BF2138"/>
    <w:rsid w:val="00C116A0"/>
    <w:rsid w:val="00C2082A"/>
    <w:rsid w:val="00C24D43"/>
    <w:rsid w:val="00C35DF1"/>
    <w:rsid w:val="00C40799"/>
    <w:rsid w:val="00C55D87"/>
    <w:rsid w:val="00C55F17"/>
    <w:rsid w:val="00C60F1E"/>
    <w:rsid w:val="00C62371"/>
    <w:rsid w:val="00C6653A"/>
    <w:rsid w:val="00C6691C"/>
    <w:rsid w:val="00CB7620"/>
    <w:rsid w:val="00CE371C"/>
    <w:rsid w:val="00CE3C09"/>
    <w:rsid w:val="00CE7BEC"/>
    <w:rsid w:val="00CF0D9B"/>
    <w:rsid w:val="00D1063B"/>
    <w:rsid w:val="00D62777"/>
    <w:rsid w:val="00D80274"/>
    <w:rsid w:val="00D92B73"/>
    <w:rsid w:val="00DD2D7D"/>
    <w:rsid w:val="00DE75F4"/>
    <w:rsid w:val="00E13A58"/>
    <w:rsid w:val="00E13FEC"/>
    <w:rsid w:val="00E15317"/>
    <w:rsid w:val="00E3042C"/>
    <w:rsid w:val="00E30C63"/>
    <w:rsid w:val="00E45749"/>
    <w:rsid w:val="00E54E51"/>
    <w:rsid w:val="00EA36C8"/>
    <w:rsid w:val="00EB33A5"/>
    <w:rsid w:val="00EC20F7"/>
    <w:rsid w:val="00EE0DCD"/>
    <w:rsid w:val="00EE487E"/>
    <w:rsid w:val="00F02777"/>
    <w:rsid w:val="00F02BA9"/>
    <w:rsid w:val="00F3474D"/>
    <w:rsid w:val="00F376E1"/>
    <w:rsid w:val="00F51130"/>
    <w:rsid w:val="00F81FA5"/>
    <w:rsid w:val="00F84F61"/>
    <w:rsid w:val="00F86A6E"/>
    <w:rsid w:val="00F87EE1"/>
    <w:rsid w:val="00FA1765"/>
    <w:rsid w:val="00FA19C2"/>
    <w:rsid w:val="00FC40B7"/>
    <w:rsid w:val="00FC4FB2"/>
    <w:rsid w:val="00FD59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994C2"/>
  <w15:chartTrackingRefBased/>
  <w15:docId w15:val="{A52ED137-8789-47ED-8A3B-1620455D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semiHidden/>
    <w:unhideWhenUsed/>
    <w:qFormat/>
    <w:rsid w:val="00BA31D9"/>
    <w:pPr>
      <w:spacing w:before="100" w:beforeAutospacing="1" w:after="100" w:afterAutospacing="1" w:line="240" w:lineRule="auto"/>
      <w:outlineLvl w:val="1"/>
    </w:pPr>
    <w:rPr>
      <w:rFonts w:ascii="Calibri" w:hAnsi="Calibri" w:cs="Calibri"/>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1D9"/>
  </w:style>
  <w:style w:type="paragraph" w:styleId="Fuzeile">
    <w:name w:val="footer"/>
    <w:basedOn w:val="Standard"/>
    <w:link w:val="FuzeileZchn"/>
    <w:uiPriority w:val="99"/>
    <w:unhideWhenUsed/>
    <w:rsid w:val="00BA31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1D9"/>
  </w:style>
  <w:style w:type="character" w:customStyle="1" w:styleId="berschrift2Zchn">
    <w:name w:val="Überschrift 2 Zchn"/>
    <w:basedOn w:val="Absatz-Standardschriftart"/>
    <w:link w:val="berschrift2"/>
    <w:uiPriority w:val="9"/>
    <w:semiHidden/>
    <w:rsid w:val="00BA31D9"/>
    <w:rPr>
      <w:rFonts w:ascii="Calibri" w:hAnsi="Calibri" w:cs="Calibri"/>
      <w:b/>
      <w:bCs/>
      <w:sz w:val="36"/>
      <w:szCs w:val="36"/>
      <w:lang w:eastAsia="de-CH"/>
    </w:rPr>
  </w:style>
  <w:style w:type="character" w:styleId="Fett">
    <w:name w:val="Strong"/>
    <w:basedOn w:val="Absatz-Standardschriftart"/>
    <w:uiPriority w:val="22"/>
    <w:qFormat/>
    <w:rsid w:val="00BA31D9"/>
    <w:rPr>
      <w:b/>
      <w:bCs/>
    </w:rPr>
  </w:style>
  <w:style w:type="paragraph" w:styleId="Listenabsatz">
    <w:name w:val="List Paragraph"/>
    <w:basedOn w:val="Standard"/>
    <w:uiPriority w:val="34"/>
    <w:qFormat/>
    <w:rsid w:val="002E6076"/>
    <w:pPr>
      <w:ind w:left="720"/>
      <w:contextualSpacing/>
    </w:pPr>
  </w:style>
  <w:style w:type="character" w:styleId="Hyperlink">
    <w:name w:val="Hyperlink"/>
    <w:basedOn w:val="Absatz-Standardschriftart"/>
    <w:uiPriority w:val="99"/>
    <w:unhideWhenUsed/>
    <w:rsid w:val="00487A7D"/>
    <w:rPr>
      <w:color w:val="0563C1" w:themeColor="hyperlink"/>
      <w:u w:val="single"/>
    </w:rPr>
  </w:style>
  <w:style w:type="character" w:styleId="NichtaufgelsteErwhnung">
    <w:name w:val="Unresolved Mention"/>
    <w:basedOn w:val="Absatz-Standardschriftart"/>
    <w:uiPriority w:val="99"/>
    <w:semiHidden/>
    <w:unhideWhenUsed/>
    <w:rsid w:val="00071233"/>
    <w:rPr>
      <w:color w:val="605E5C"/>
      <w:shd w:val="clear" w:color="auto" w:fill="E1DFDD"/>
    </w:rPr>
  </w:style>
  <w:style w:type="paragraph" w:styleId="berarbeitung">
    <w:name w:val="Revision"/>
    <w:hidden/>
    <w:uiPriority w:val="99"/>
    <w:semiHidden/>
    <w:rsid w:val="00102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533">
      <w:bodyDiv w:val="1"/>
      <w:marLeft w:val="0"/>
      <w:marRight w:val="0"/>
      <w:marTop w:val="0"/>
      <w:marBottom w:val="0"/>
      <w:divBdr>
        <w:top w:val="none" w:sz="0" w:space="0" w:color="auto"/>
        <w:left w:val="none" w:sz="0" w:space="0" w:color="auto"/>
        <w:bottom w:val="none" w:sz="0" w:space="0" w:color="auto"/>
        <w:right w:val="none" w:sz="0" w:space="0" w:color="auto"/>
      </w:divBdr>
    </w:div>
    <w:div w:id="984359086">
      <w:bodyDiv w:val="1"/>
      <w:marLeft w:val="0"/>
      <w:marRight w:val="0"/>
      <w:marTop w:val="0"/>
      <w:marBottom w:val="0"/>
      <w:divBdr>
        <w:top w:val="none" w:sz="0" w:space="0" w:color="auto"/>
        <w:left w:val="none" w:sz="0" w:space="0" w:color="auto"/>
        <w:bottom w:val="none" w:sz="0" w:space="0" w:color="auto"/>
        <w:right w:val="none" w:sz="0" w:space="0" w:color="auto"/>
      </w:divBdr>
    </w:div>
    <w:div w:id="1023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rrerhugi.sharepoint.com/:f:/s/21SHARES_Mediahub/EuS_W6Ts1stNh46k4hMWEw4BAOT5fvC13gIiBjxC1O2Q7Q?e=HSg4I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21.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21.co" TargetMode="External"/><Relationship Id="rId5" Type="http://schemas.openxmlformats.org/officeDocument/2006/relationships/styles" Target="styles.xml"/><Relationship Id="rId15" Type="http://schemas.openxmlformats.org/officeDocument/2006/relationships/hyperlink" Target="http://www.21shares.com/" TargetMode="External"/><Relationship Id="rId10" Type="http://schemas.openxmlformats.org/officeDocument/2006/relationships/hyperlink" Target="https://21shar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21.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21.co"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ff9f17-17e0-4c25-9281-a4f96406b82a" xsi:nil="true"/>
    <lcf76f155ced4ddcb4097134ff3c332f xmlns="4ad3ebe9-9743-4508-a57b-0c76ee94b7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B6F40B1E00741BC9ECABC383DE209" ma:contentTypeVersion="15" ma:contentTypeDescription="Create a new document." ma:contentTypeScope="" ma:versionID="8e88fea2dfa9d5595fe9085988737cb7">
  <xsd:schema xmlns:xsd="http://www.w3.org/2001/XMLSchema" xmlns:xs="http://www.w3.org/2001/XMLSchema" xmlns:p="http://schemas.microsoft.com/office/2006/metadata/properties" xmlns:ns2="4ad3ebe9-9743-4508-a57b-0c76ee94b799" xmlns:ns3="2cff9f17-17e0-4c25-9281-a4f96406b82a" targetNamespace="http://schemas.microsoft.com/office/2006/metadata/properties" ma:root="true" ma:fieldsID="ed8d8d78375a567bf542dbc05d261547" ns2:_="" ns3:_="">
    <xsd:import namespace="4ad3ebe9-9743-4508-a57b-0c76ee94b799"/>
    <xsd:import namespace="2cff9f17-17e0-4c25-9281-a4f96406b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3ebe9-9743-4508-a57b-0c76ee94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f9f17-17e0-4c25-9281-a4f96406b8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f9199f5-eecb-4e7b-b1ce-0edb519d8b23}" ma:internalName="TaxCatchAll" ma:showField="CatchAllData" ma:web="2cff9f17-17e0-4c25-9281-a4f96406b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A3EE1-F2B9-407B-B6AC-2EAE6AB60BA3}">
  <ds:schemaRefs>
    <ds:schemaRef ds:uri="http://schemas.microsoft.com/sharepoint/v3/contenttype/forms"/>
  </ds:schemaRefs>
</ds:datastoreItem>
</file>

<file path=customXml/itemProps2.xml><?xml version="1.0" encoding="utf-8"?>
<ds:datastoreItem xmlns:ds="http://schemas.openxmlformats.org/officeDocument/2006/customXml" ds:itemID="{E4932DF6-EF1F-4948-8964-5B0C982D4277}">
  <ds:schemaRefs>
    <ds:schemaRef ds:uri="http://schemas.microsoft.com/office/2006/metadata/properties"/>
    <ds:schemaRef ds:uri="http://schemas.microsoft.com/office/infopath/2007/PartnerControls"/>
    <ds:schemaRef ds:uri="2cff9f17-17e0-4c25-9281-a4f96406b82a"/>
    <ds:schemaRef ds:uri="4ad3ebe9-9743-4508-a57b-0c76ee94b799"/>
  </ds:schemaRefs>
</ds:datastoreItem>
</file>

<file path=customXml/itemProps3.xml><?xml version="1.0" encoding="utf-8"?>
<ds:datastoreItem xmlns:ds="http://schemas.openxmlformats.org/officeDocument/2006/customXml" ds:itemID="{BA72753F-3DD8-4848-AB09-A8B7CE620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3ebe9-9743-4508-a57b-0c76ee94b799"/>
    <ds:schemaRef ds:uri="2cff9f17-17e0-4c25-9281-a4f96406b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6887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21-09-22_PressRelease_21Shares launches two ETPs</dc:title>
  <dc:subject/>
  <dc:creator>21.co</dc:creator>
  <cp:keywords/>
  <dc:description/>
  <cp:lastModifiedBy>Stephanie Niggli</cp:lastModifiedBy>
  <cp:revision>4</cp:revision>
  <dcterms:created xsi:type="dcterms:W3CDTF">2022-10-11T15:24:00Z</dcterms:created>
  <dcterms:modified xsi:type="dcterms:W3CDTF">2022-10-11T16:01:00Z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0x0101003E6B6F40B1E00741BC9ECABC383DE209</vt:lpwstr>
  </property>
  <property fmtid="{D5CDD505-2E9C-101B-9397-08002B2CF9AE}" pid="3" name="MediaServiceImageTags">
    <vt:lpwstr/>
  </property>
  <property fmtid="{D5CDD505-2E9C-101B-9397-08002B2CF9AE}" pid="4" name="GrammarlyDocumentId">
    <vt:lpwstr>319cb2aa3900a306fd3c46a44b537f305c5044ccfb3da3a9dac117f17bf33ce2</vt:lpwstr>
  </property>
</Properties>
</file>