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5154" w14:textId="23A3E11B" w:rsidR="004959F9" w:rsidRDefault="004959F9" w:rsidP="00F35EC2">
      <w:pPr>
        <w:pStyle w:val="paragraph"/>
        <w:spacing w:before="0" w:beforeAutospacing="0" w:after="0" w:afterAutospacing="0"/>
        <w:jc w:val="center"/>
        <w:textAlignment w:val="baseline"/>
        <w:rPr>
          <w:rStyle w:val="normaltextrun"/>
          <w:rFonts w:ascii="Calibri" w:hAnsi="Calibri" w:cs="Calibri"/>
          <w:b/>
          <w:bCs/>
          <w:sz w:val="22"/>
          <w:szCs w:val="22"/>
          <w:lang w:val="en-US"/>
        </w:rPr>
      </w:pPr>
      <w:r w:rsidRPr="004959F9">
        <w:rPr>
          <w:rStyle w:val="normaltextrun"/>
          <w:rFonts w:ascii="Calibri" w:hAnsi="Calibri" w:cs="Calibri"/>
          <w:b/>
          <w:bCs/>
          <w:sz w:val="22"/>
          <w:szCs w:val="22"/>
          <w:lang w:val="en-US"/>
        </w:rPr>
        <w:t xml:space="preserve">Press </w:t>
      </w:r>
      <w:r w:rsidR="00563391">
        <w:rPr>
          <w:rStyle w:val="normaltextrun"/>
          <w:rFonts w:ascii="Calibri" w:hAnsi="Calibri" w:cs="Calibri"/>
          <w:b/>
          <w:bCs/>
          <w:sz w:val="22"/>
          <w:szCs w:val="22"/>
          <w:lang w:val="en-US"/>
        </w:rPr>
        <w:t>R</w:t>
      </w:r>
      <w:r w:rsidRPr="004959F9">
        <w:rPr>
          <w:rStyle w:val="normaltextrun"/>
          <w:rFonts w:ascii="Calibri" w:hAnsi="Calibri" w:cs="Calibri"/>
          <w:b/>
          <w:bCs/>
          <w:sz w:val="22"/>
          <w:szCs w:val="22"/>
          <w:lang w:val="en-US"/>
        </w:rPr>
        <w:t>elease</w:t>
      </w:r>
    </w:p>
    <w:p w14:paraId="46D69118" w14:textId="7CB4E006" w:rsidR="00563391" w:rsidRPr="00B04FFE" w:rsidRDefault="00563391" w:rsidP="00F35EC2">
      <w:pPr>
        <w:pStyle w:val="paragraph"/>
        <w:spacing w:before="0" w:beforeAutospacing="0" w:after="0" w:afterAutospacing="0"/>
        <w:jc w:val="center"/>
        <w:textAlignment w:val="baseline"/>
        <w:rPr>
          <w:rStyle w:val="normaltextrun"/>
          <w:rFonts w:ascii="Calibri" w:eastAsiaTheme="minorHAnsi" w:hAnsi="Calibri" w:cs="Calibri"/>
          <w:b/>
          <w:bCs/>
          <w:caps/>
          <w:color w:val="FF0000"/>
          <w:sz w:val="22"/>
          <w:szCs w:val="22"/>
          <w:lang w:val="en-US" w:eastAsia="en-US"/>
        </w:rPr>
      </w:pPr>
      <w:r w:rsidRPr="00B04FFE">
        <w:rPr>
          <w:rStyle w:val="normaltextrun"/>
          <w:rFonts w:ascii="Calibri" w:hAnsi="Calibri" w:cs="Calibri"/>
          <w:b/>
          <w:bCs/>
          <w:caps/>
          <w:color w:val="FF0000"/>
          <w:sz w:val="22"/>
          <w:szCs w:val="22"/>
          <w:lang w:val="en-US"/>
        </w:rPr>
        <w:t xml:space="preserve">Embargo until Wednesday, April 27, </w:t>
      </w:r>
      <w:proofErr w:type="gramStart"/>
      <w:r w:rsidRPr="00B04FFE">
        <w:rPr>
          <w:rStyle w:val="normaltextrun"/>
          <w:rFonts w:ascii="Calibri" w:hAnsi="Calibri" w:cs="Calibri"/>
          <w:b/>
          <w:bCs/>
          <w:caps/>
          <w:color w:val="FF0000"/>
          <w:sz w:val="22"/>
          <w:szCs w:val="22"/>
          <w:lang w:val="en-US"/>
        </w:rPr>
        <w:t>2022</w:t>
      </w:r>
      <w:proofErr w:type="gramEnd"/>
      <w:r w:rsidRPr="00B04FFE">
        <w:rPr>
          <w:rStyle w:val="normaltextrun"/>
          <w:rFonts w:ascii="Calibri" w:hAnsi="Calibri" w:cs="Calibri"/>
          <w:b/>
          <w:bCs/>
          <w:caps/>
          <w:color w:val="FF0000"/>
          <w:sz w:val="22"/>
          <w:szCs w:val="22"/>
          <w:lang w:val="en-US"/>
        </w:rPr>
        <w:t xml:space="preserve"> at 0</w:t>
      </w:r>
      <w:r w:rsidR="00E641CF" w:rsidRPr="00B04FFE">
        <w:rPr>
          <w:rStyle w:val="normaltextrun"/>
          <w:rFonts w:ascii="Calibri" w:hAnsi="Calibri" w:cs="Calibri"/>
          <w:b/>
          <w:bCs/>
          <w:caps/>
          <w:color w:val="FF0000"/>
          <w:sz w:val="22"/>
          <w:szCs w:val="22"/>
          <w:lang w:val="en-US"/>
        </w:rPr>
        <w:t>9</w:t>
      </w:r>
      <w:r w:rsidRPr="00B04FFE">
        <w:rPr>
          <w:rStyle w:val="normaltextrun"/>
          <w:rFonts w:ascii="Calibri" w:hAnsi="Calibri" w:cs="Calibri"/>
          <w:b/>
          <w:bCs/>
          <w:caps/>
          <w:color w:val="FF0000"/>
          <w:sz w:val="22"/>
          <w:szCs w:val="22"/>
          <w:lang w:val="en-US"/>
        </w:rPr>
        <w:t xml:space="preserve">00h </w:t>
      </w:r>
      <w:r w:rsidR="00E641CF" w:rsidRPr="00B04FFE">
        <w:rPr>
          <w:rStyle w:val="normaltextrun"/>
          <w:rFonts w:ascii="Calibri" w:hAnsi="Calibri" w:cs="Calibri"/>
          <w:b/>
          <w:bCs/>
          <w:caps/>
          <w:color w:val="FF0000"/>
          <w:sz w:val="22"/>
          <w:szCs w:val="22"/>
          <w:lang w:val="en-US"/>
        </w:rPr>
        <w:t>CET</w:t>
      </w:r>
    </w:p>
    <w:p w14:paraId="3D77D005" w14:textId="77777777" w:rsidR="004959F9" w:rsidRPr="004959F9" w:rsidRDefault="004959F9" w:rsidP="004959F9">
      <w:pPr>
        <w:pStyle w:val="paragraph"/>
        <w:spacing w:before="0" w:beforeAutospacing="0" w:after="0" w:afterAutospacing="0"/>
        <w:ind w:left="720" w:hanging="360"/>
        <w:jc w:val="center"/>
        <w:textAlignment w:val="baseline"/>
        <w:rPr>
          <w:rStyle w:val="normaltextrun"/>
          <w:rFonts w:ascii="Calibri" w:hAnsi="Calibri" w:cs="Calibri"/>
          <w:b/>
          <w:bCs/>
          <w:sz w:val="26"/>
          <w:szCs w:val="26"/>
          <w:lang w:val="en-US"/>
        </w:rPr>
      </w:pPr>
    </w:p>
    <w:p w14:paraId="72F84D27" w14:textId="250600D0" w:rsidR="006C5A93" w:rsidRDefault="006C5A93" w:rsidP="004959F9">
      <w:pPr>
        <w:pStyle w:val="paragraph"/>
        <w:spacing w:before="0" w:beforeAutospacing="0" w:after="0" w:afterAutospacing="0"/>
        <w:ind w:left="720" w:hanging="360"/>
        <w:jc w:val="center"/>
        <w:textAlignment w:val="baseline"/>
        <w:rPr>
          <w:rStyle w:val="normaltextrun"/>
          <w:rFonts w:ascii="Calibri" w:hAnsi="Calibri" w:cs="Calibri"/>
          <w:b/>
          <w:bCs/>
          <w:sz w:val="26"/>
          <w:szCs w:val="26"/>
          <w:lang w:val="en-US"/>
        </w:rPr>
      </w:pPr>
      <w:r>
        <w:rPr>
          <w:rStyle w:val="normaltextrun"/>
          <w:rFonts w:ascii="Calibri" w:hAnsi="Calibri" w:cs="Calibri"/>
          <w:b/>
          <w:bCs/>
          <w:sz w:val="26"/>
          <w:szCs w:val="26"/>
          <w:lang w:val="en-US"/>
        </w:rPr>
        <w:t xml:space="preserve">21Shares launches </w:t>
      </w:r>
      <w:r w:rsidR="000A603A">
        <w:rPr>
          <w:rStyle w:val="normaltextrun"/>
          <w:rFonts w:ascii="Calibri" w:hAnsi="Calibri" w:cs="Calibri"/>
          <w:b/>
          <w:bCs/>
          <w:sz w:val="26"/>
          <w:szCs w:val="26"/>
          <w:lang w:val="en-US"/>
        </w:rPr>
        <w:t xml:space="preserve">BOLD, </w:t>
      </w:r>
      <w:r>
        <w:rPr>
          <w:rStyle w:val="normaltextrun"/>
          <w:rFonts w:ascii="Calibri" w:hAnsi="Calibri" w:cs="Calibri"/>
          <w:b/>
          <w:bCs/>
          <w:sz w:val="26"/>
          <w:szCs w:val="26"/>
          <w:lang w:val="en-US"/>
        </w:rPr>
        <w:t>the</w:t>
      </w:r>
      <w:r w:rsidRPr="006C5A93">
        <w:rPr>
          <w:rStyle w:val="normaltextrun"/>
          <w:rFonts w:ascii="Calibri" w:hAnsi="Calibri" w:cs="Calibri"/>
          <w:b/>
          <w:bCs/>
          <w:sz w:val="26"/>
          <w:szCs w:val="26"/>
          <w:lang w:val="en-US"/>
        </w:rPr>
        <w:t xml:space="preserve"> </w:t>
      </w:r>
      <w:r w:rsidRPr="004959F9">
        <w:rPr>
          <w:rStyle w:val="normaltextrun"/>
          <w:rFonts w:ascii="Calibri" w:hAnsi="Calibri" w:cs="Calibri"/>
          <w:b/>
          <w:bCs/>
          <w:sz w:val="26"/>
          <w:szCs w:val="26"/>
          <w:lang w:val="en-US"/>
        </w:rPr>
        <w:t>world’s first Bitcoin and Gold ETP</w:t>
      </w:r>
    </w:p>
    <w:p w14:paraId="584CE7C9" w14:textId="43FF7C64" w:rsidR="004959F9" w:rsidRPr="004959F9" w:rsidRDefault="004959F9" w:rsidP="004959F9">
      <w:pPr>
        <w:pStyle w:val="paragraph"/>
        <w:spacing w:before="0" w:beforeAutospacing="0" w:after="0" w:afterAutospacing="0"/>
        <w:ind w:left="720" w:hanging="360"/>
        <w:jc w:val="center"/>
        <w:textAlignment w:val="baseline"/>
        <w:rPr>
          <w:rFonts w:ascii="Segoe UI" w:hAnsi="Segoe UI" w:cs="Segoe UI"/>
          <w:sz w:val="18"/>
          <w:szCs w:val="18"/>
          <w:u w:val="single"/>
          <w:lang w:val="en-US"/>
        </w:rPr>
      </w:pPr>
    </w:p>
    <w:p w14:paraId="17D5BAFC" w14:textId="252BA75A" w:rsidR="00944F77" w:rsidRPr="00944F77" w:rsidRDefault="00B37245" w:rsidP="00541ACB">
      <w:pPr>
        <w:pStyle w:val="paragraph"/>
        <w:numPr>
          <w:ilvl w:val="0"/>
          <w:numId w:val="10"/>
        </w:numPr>
        <w:spacing w:before="0" w:beforeAutospacing="0" w:after="40" w:afterAutospacing="0"/>
        <w:ind w:left="1077" w:hanging="357"/>
        <w:textAlignment w:val="baseline"/>
        <w:rPr>
          <w:rStyle w:val="normaltextrun"/>
          <w:rFonts w:ascii="Segoe UI" w:hAnsi="Segoe UI" w:cs="Segoe UI"/>
          <w:sz w:val="18"/>
          <w:szCs w:val="18"/>
          <w:lang w:val="en-US"/>
        </w:rPr>
      </w:pPr>
      <w:r>
        <w:rPr>
          <w:rStyle w:val="normaltextrun"/>
          <w:rFonts w:ascii="Calibri" w:hAnsi="Calibri" w:cs="Calibri"/>
          <w:b/>
          <w:bCs/>
          <w:sz w:val="22"/>
          <w:szCs w:val="22"/>
          <w:lang w:val="en-US"/>
        </w:rPr>
        <w:t>T</w:t>
      </w:r>
      <w:r w:rsidRPr="00B37245">
        <w:rPr>
          <w:rStyle w:val="normaltextrun"/>
          <w:rFonts w:ascii="Calibri" w:hAnsi="Calibri" w:cs="Calibri"/>
          <w:b/>
          <w:bCs/>
          <w:sz w:val="22"/>
          <w:szCs w:val="22"/>
          <w:lang w:val="en-US"/>
        </w:rPr>
        <w:t xml:space="preserve">he 21Shares </w:t>
      </w:r>
      <w:proofErr w:type="spellStart"/>
      <w:r w:rsidRPr="00B37245">
        <w:rPr>
          <w:rStyle w:val="normaltextrun"/>
          <w:rFonts w:ascii="Calibri" w:hAnsi="Calibri" w:cs="Calibri"/>
          <w:b/>
          <w:bCs/>
          <w:sz w:val="22"/>
          <w:szCs w:val="22"/>
          <w:lang w:val="en-US"/>
        </w:rPr>
        <w:t>ByteTree</w:t>
      </w:r>
      <w:proofErr w:type="spellEnd"/>
      <w:r w:rsidRPr="00B37245">
        <w:rPr>
          <w:rStyle w:val="normaltextrun"/>
          <w:rFonts w:ascii="Calibri" w:hAnsi="Calibri" w:cs="Calibri"/>
          <w:b/>
          <w:bCs/>
          <w:sz w:val="22"/>
          <w:szCs w:val="22"/>
          <w:lang w:val="en-US"/>
        </w:rPr>
        <w:t xml:space="preserve"> BOLD ETP </w:t>
      </w:r>
      <w:r w:rsidR="00C31E84">
        <w:rPr>
          <w:rStyle w:val="normaltextrun"/>
          <w:rFonts w:ascii="Calibri" w:hAnsi="Calibri" w:cs="Calibri"/>
          <w:b/>
          <w:bCs/>
          <w:sz w:val="22"/>
          <w:szCs w:val="22"/>
          <w:lang w:val="en-US"/>
        </w:rPr>
        <w:t xml:space="preserve">is </w:t>
      </w:r>
      <w:r w:rsidR="00B31BC1">
        <w:rPr>
          <w:rStyle w:val="normaltextrun"/>
          <w:rFonts w:ascii="Calibri" w:hAnsi="Calibri" w:cs="Calibri"/>
          <w:b/>
          <w:bCs/>
          <w:sz w:val="22"/>
          <w:szCs w:val="22"/>
          <w:lang w:val="en-US"/>
        </w:rPr>
        <w:t xml:space="preserve">listed </w:t>
      </w:r>
      <w:r w:rsidR="00B31BC1" w:rsidRPr="004959F9">
        <w:rPr>
          <w:rStyle w:val="normaltextrun"/>
          <w:rFonts w:ascii="Calibri" w:hAnsi="Calibri" w:cs="Calibri"/>
          <w:b/>
          <w:bCs/>
          <w:sz w:val="22"/>
          <w:szCs w:val="22"/>
          <w:lang w:val="en-US"/>
        </w:rPr>
        <w:t xml:space="preserve">on </w:t>
      </w:r>
      <w:r w:rsidR="00B31BC1">
        <w:rPr>
          <w:rStyle w:val="normaltextrun"/>
          <w:rFonts w:ascii="Calibri" w:hAnsi="Calibri" w:cs="Calibri"/>
          <w:b/>
          <w:bCs/>
          <w:sz w:val="22"/>
          <w:szCs w:val="22"/>
          <w:lang w:val="en-US"/>
        </w:rPr>
        <w:t xml:space="preserve">the SIX </w:t>
      </w:r>
      <w:r w:rsidR="00B31BC1" w:rsidRPr="004959F9">
        <w:rPr>
          <w:rStyle w:val="normaltextrun"/>
          <w:rFonts w:ascii="Calibri" w:hAnsi="Calibri" w:cs="Calibri"/>
          <w:b/>
          <w:bCs/>
          <w:sz w:val="22"/>
          <w:szCs w:val="22"/>
          <w:lang w:val="en-US"/>
        </w:rPr>
        <w:t>Swiss Exchange</w:t>
      </w:r>
      <w:r w:rsidR="00B31BC1">
        <w:rPr>
          <w:rStyle w:val="normaltextrun"/>
          <w:rFonts w:ascii="Calibri" w:hAnsi="Calibri" w:cs="Calibri"/>
          <w:b/>
          <w:bCs/>
          <w:sz w:val="22"/>
          <w:szCs w:val="22"/>
          <w:lang w:val="en-US"/>
        </w:rPr>
        <w:t xml:space="preserve"> and offered by 21Shares and </w:t>
      </w:r>
      <w:proofErr w:type="spellStart"/>
      <w:r w:rsidR="00B31BC1">
        <w:rPr>
          <w:rStyle w:val="normaltextrun"/>
          <w:rFonts w:ascii="Calibri" w:hAnsi="Calibri" w:cs="Calibri"/>
          <w:b/>
          <w:bCs/>
          <w:sz w:val="22"/>
          <w:szCs w:val="22"/>
          <w:lang w:val="en-US"/>
        </w:rPr>
        <w:t>ByteTree</w:t>
      </w:r>
      <w:proofErr w:type="spellEnd"/>
    </w:p>
    <w:p w14:paraId="1964E24A" w14:textId="563A5B84" w:rsidR="004959F9" w:rsidRPr="004959F9" w:rsidRDefault="004959F9" w:rsidP="00541ACB">
      <w:pPr>
        <w:pStyle w:val="paragraph"/>
        <w:numPr>
          <w:ilvl w:val="0"/>
          <w:numId w:val="10"/>
        </w:numPr>
        <w:spacing w:before="0" w:beforeAutospacing="0" w:after="40" w:afterAutospacing="0"/>
        <w:ind w:left="1077" w:hanging="357"/>
        <w:textAlignment w:val="baseline"/>
        <w:rPr>
          <w:rFonts w:ascii="Segoe UI" w:hAnsi="Segoe UI" w:cs="Segoe UI"/>
          <w:sz w:val="18"/>
          <w:szCs w:val="18"/>
          <w:lang w:val="en-US"/>
        </w:rPr>
      </w:pPr>
      <w:r w:rsidRPr="004959F9">
        <w:rPr>
          <w:rStyle w:val="normaltextrun"/>
          <w:rFonts w:ascii="Calibri" w:hAnsi="Calibri" w:cs="Calibri"/>
          <w:b/>
          <w:bCs/>
          <w:sz w:val="22"/>
          <w:szCs w:val="22"/>
          <w:lang w:val="en-US"/>
        </w:rPr>
        <w:t>A physically backed ETP which rebalances Bitcoin and Gold monthly in inverse proportion to their risk</w:t>
      </w:r>
    </w:p>
    <w:p w14:paraId="03A230E9" w14:textId="240C1B75" w:rsidR="004959F9" w:rsidRPr="00944F77" w:rsidRDefault="004959F9" w:rsidP="00944F77">
      <w:pPr>
        <w:pStyle w:val="paragraph"/>
        <w:numPr>
          <w:ilvl w:val="0"/>
          <w:numId w:val="10"/>
        </w:numPr>
        <w:spacing w:before="0" w:beforeAutospacing="0" w:after="40" w:afterAutospacing="0"/>
        <w:ind w:left="1077" w:hanging="357"/>
        <w:textAlignment w:val="baseline"/>
        <w:rPr>
          <w:rFonts w:ascii="Segoe UI" w:hAnsi="Segoe UI" w:cs="Segoe UI"/>
          <w:sz w:val="18"/>
          <w:szCs w:val="18"/>
          <w:lang w:val="en-US"/>
        </w:rPr>
      </w:pPr>
      <w:r w:rsidRPr="004959F9">
        <w:rPr>
          <w:rStyle w:val="normaltextrun"/>
          <w:rFonts w:ascii="Calibri" w:hAnsi="Calibri" w:cs="Calibri"/>
          <w:b/>
          <w:bCs/>
          <w:sz w:val="22"/>
          <w:szCs w:val="22"/>
          <w:lang w:val="en-US"/>
        </w:rPr>
        <w:t>BOLD is designed as a core component within a balanced portfolio, aiming to deliver uncorrelated long-term returns and wealth protection in an inflationary environment</w:t>
      </w:r>
    </w:p>
    <w:p w14:paraId="003AFAA5" w14:textId="77777777" w:rsidR="004959F9" w:rsidRPr="004959F9" w:rsidRDefault="004959F9" w:rsidP="004959F9">
      <w:pPr>
        <w:pStyle w:val="paragraph"/>
        <w:spacing w:before="0" w:beforeAutospacing="0" w:after="0" w:afterAutospacing="0"/>
        <w:ind w:left="360" w:hanging="360"/>
        <w:textAlignment w:val="baseline"/>
        <w:rPr>
          <w:rFonts w:ascii="Segoe UI" w:hAnsi="Segoe UI" w:cs="Segoe UI"/>
          <w:sz w:val="18"/>
          <w:szCs w:val="18"/>
          <w:lang w:val="en-US"/>
        </w:rPr>
      </w:pPr>
      <w:r w:rsidRPr="004959F9">
        <w:rPr>
          <w:rStyle w:val="eop"/>
          <w:rFonts w:ascii="Calibri" w:hAnsi="Calibri" w:cs="Calibri"/>
          <w:sz w:val="22"/>
          <w:szCs w:val="22"/>
          <w:lang w:val="en-US"/>
        </w:rPr>
        <w:t> </w:t>
      </w:r>
    </w:p>
    <w:p w14:paraId="4C67DCC3" w14:textId="56455945" w:rsidR="00135637" w:rsidRDefault="00135637" w:rsidP="004959F9">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b/>
          <w:bCs/>
          <w:sz w:val="22"/>
          <w:szCs w:val="22"/>
          <w:lang w:val="en-US"/>
        </w:rPr>
        <w:t>Zug</w:t>
      </w:r>
      <w:r w:rsidR="004959F9" w:rsidRPr="004959F9">
        <w:rPr>
          <w:rStyle w:val="normaltextrun"/>
          <w:rFonts w:ascii="Calibri" w:hAnsi="Calibri" w:cs="Calibri"/>
          <w:b/>
          <w:bCs/>
          <w:sz w:val="22"/>
          <w:szCs w:val="22"/>
          <w:lang w:val="en-US"/>
        </w:rPr>
        <w:t xml:space="preserve">, </w:t>
      </w:r>
      <w:r>
        <w:rPr>
          <w:rStyle w:val="normaltextrun"/>
          <w:rFonts w:ascii="Calibri" w:hAnsi="Calibri" w:cs="Calibri"/>
          <w:b/>
          <w:bCs/>
          <w:sz w:val="22"/>
          <w:szCs w:val="22"/>
          <w:lang w:val="en-US"/>
        </w:rPr>
        <w:t>Switzerland</w:t>
      </w:r>
      <w:r w:rsidR="00D35682">
        <w:rPr>
          <w:rStyle w:val="normaltextrun"/>
          <w:rFonts w:ascii="Calibri" w:hAnsi="Calibri" w:cs="Calibri"/>
          <w:b/>
          <w:bCs/>
          <w:sz w:val="22"/>
          <w:szCs w:val="22"/>
          <w:lang w:val="en-US"/>
        </w:rPr>
        <w:t>,</w:t>
      </w:r>
      <w:r>
        <w:rPr>
          <w:rStyle w:val="normaltextrun"/>
          <w:rFonts w:ascii="Calibri" w:hAnsi="Calibri" w:cs="Calibri"/>
          <w:b/>
          <w:bCs/>
          <w:sz w:val="22"/>
          <w:szCs w:val="22"/>
          <w:lang w:val="en-US"/>
        </w:rPr>
        <w:t xml:space="preserve"> April </w:t>
      </w:r>
      <w:r w:rsidR="00D35682">
        <w:rPr>
          <w:rStyle w:val="normaltextrun"/>
          <w:rFonts w:ascii="Calibri" w:hAnsi="Calibri" w:cs="Calibri"/>
          <w:b/>
          <w:bCs/>
          <w:sz w:val="22"/>
          <w:szCs w:val="22"/>
          <w:lang w:val="en-US"/>
        </w:rPr>
        <w:t xml:space="preserve">27, </w:t>
      </w:r>
      <w:r w:rsidR="004959F9" w:rsidRPr="004959F9">
        <w:rPr>
          <w:rStyle w:val="normaltextrun"/>
          <w:rFonts w:ascii="Calibri" w:hAnsi="Calibri" w:cs="Calibri"/>
          <w:b/>
          <w:bCs/>
          <w:sz w:val="22"/>
          <w:szCs w:val="22"/>
          <w:lang w:val="en-US"/>
        </w:rPr>
        <w:t>202</w:t>
      </w:r>
      <w:r>
        <w:rPr>
          <w:rStyle w:val="normaltextrun"/>
          <w:rFonts w:ascii="Calibri" w:hAnsi="Calibri" w:cs="Calibri"/>
          <w:b/>
          <w:bCs/>
          <w:sz w:val="22"/>
          <w:szCs w:val="22"/>
          <w:lang w:val="en-US"/>
        </w:rPr>
        <w:t>2</w:t>
      </w:r>
      <w:r w:rsidR="004959F9" w:rsidRPr="004959F9">
        <w:rPr>
          <w:rStyle w:val="normaltextrun"/>
          <w:rFonts w:ascii="Calibri" w:hAnsi="Calibri" w:cs="Calibri"/>
          <w:sz w:val="22"/>
          <w:szCs w:val="22"/>
          <w:lang w:val="en-US"/>
        </w:rPr>
        <w:t xml:space="preserve"> </w:t>
      </w:r>
      <w:r>
        <w:rPr>
          <w:rStyle w:val="normaltextrun"/>
          <w:rFonts w:ascii="Calibri" w:hAnsi="Calibri" w:cs="Calibri"/>
          <w:sz w:val="22"/>
          <w:szCs w:val="22"/>
          <w:lang w:val="en-US"/>
        </w:rPr>
        <w:t>–</w:t>
      </w:r>
      <w:r w:rsidR="004959F9" w:rsidRPr="004959F9">
        <w:rPr>
          <w:rStyle w:val="normaltextrun"/>
          <w:rFonts w:ascii="Calibri" w:hAnsi="Calibri" w:cs="Calibri"/>
          <w:sz w:val="22"/>
          <w:szCs w:val="22"/>
          <w:lang w:val="en-US"/>
        </w:rPr>
        <w:t xml:space="preserve"> </w:t>
      </w:r>
      <w:r w:rsidR="004228BD" w:rsidRPr="004228BD">
        <w:rPr>
          <w:rStyle w:val="normaltextrun"/>
          <w:rFonts w:ascii="Calibri" w:hAnsi="Calibri" w:cs="Calibri"/>
          <w:sz w:val="22"/>
          <w:szCs w:val="22"/>
          <w:lang w:val="en-US"/>
        </w:rPr>
        <w:t>21Shares AG (“21Shares”), a Swiss-based issuer of crypto Exchange Traded Products (ETPs), today announces the</w:t>
      </w:r>
      <w:r w:rsidR="004228BD">
        <w:rPr>
          <w:rStyle w:val="normaltextrun"/>
          <w:rFonts w:ascii="Calibri" w:hAnsi="Calibri" w:cs="Calibri"/>
          <w:sz w:val="22"/>
          <w:szCs w:val="22"/>
          <w:lang w:val="en-US"/>
        </w:rPr>
        <w:t xml:space="preserve"> listing of </w:t>
      </w:r>
      <w:r w:rsidR="00F15E5D">
        <w:rPr>
          <w:rStyle w:val="normaltextrun"/>
          <w:rFonts w:ascii="Calibri" w:hAnsi="Calibri" w:cs="Calibri"/>
          <w:sz w:val="22"/>
          <w:szCs w:val="22"/>
          <w:lang w:val="en-US"/>
        </w:rPr>
        <w:t xml:space="preserve">the </w:t>
      </w:r>
      <w:r w:rsidR="00F15E5D" w:rsidRPr="004959F9">
        <w:rPr>
          <w:rStyle w:val="normaltextrun"/>
          <w:rFonts w:ascii="Calibri" w:hAnsi="Calibri" w:cs="Calibri"/>
          <w:sz w:val="22"/>
          <w:szCs w:val="22"/>
          <w:lang w:val="en-US"/>
        </w:rPr>
        <w:t xml:space="preserve">21Shares </w:t>
      </w:r>
      <w:proofErr w:type="spellStart"/>
      <w:r w:rsidR="00F15E5D" w:rsidRPr="004959F9">
        <w:rPr>
          <w:rStyle w:val="normaltextrun"/>
          <w:rFonts w:ascii="Calibri" w:hAnsi="Calibri" w:cs="Calibri"/>
          <w:sz w:val="22"/>
          <w:szCs w:val="22"/>
          <w:lang w:val="en-US"/>
        </w:rPr>
        <w:t>ByteTree</w:t>
      </w:r>
      <w:proofErr w:type="spellEnd"/>
      <w:r w:rsidR="00F15E5D" w:rsidRPr="004959F9">
        <w:rPr>
          <w:rStyle w:val="normaltextrun"/>
          <w:rFonts w:ascii="Calibri" w:hAnsi="Calibri" w:cs="Calibri"/>
          <w:sz w:val="22"/>
          <w:szCs w:val="22"/>
          <w:lang w:val="en-US"/>
        </w:rPr>
        <w:t xml:space="preserve"> BOLD ETP</w:t>
      </w:r>
      <w:r w:rsidR="00F15E5D" w:rsidRPr="00F15E5D">
        <w:rPr>
          <w:rStyle w:val="normaltextrun"/>
          <w:rFonts w:ascii="Calibri" w:hAnsi="Calibri" w:cs="Calibri"/>
          <w:sz w:val="22"/>
          <w:szCs w:val="22"/>
          <w:lang w:val="en-US"/>
        </w:rPr>
        <w:t xml:space="preserve"> </w:t>
      </w:r>
      <w:r w:rsidR="00F15E5D">
        <w:rPr>
          <w:rStyle w:val="normaltextrun"/>
          <w:rFonts w:ascii="Calibri" w:hAnsi="Calibri" w:cs="Calibri"/>
          <w:sz w:val="22"/>
          <w:szCs w:val="22"/>
          <w:lang w:val="en-US"/>
        </w:rPr>
        <w:t>on the SIX Swiss Exchange,</w:t>
      </w:r>
      <w:r w:rsidR="00F15E5D" w:rsidRPr="004959F9">
        <w:rPr>
          <w:rStyle w:val="normaltextrun"/>
          <w:rFonts w:ascii="Calibri" w:hAnsi="Calibri" w:cs="Calibri"/>
          <w:sz w:val="22"/>
          <w:szCs w:val="22"/>
          <w:lang w:val="en-US"/>
        </w:rPr>
        <w:t xml:space="preserve"> the world’s first ETP that combines Bitcoin and Gold</w:t>
      </w:r>
      <w:r w:rsidR="004228BD">
        <w:rPr>
          <w:rStyle w:val="normaltextrun"/>
          <w:rFonts w:ascii="Calibri" w:hAnsi="Calibri" w:cs="Calibri"/>
          <w:sz w:val="22"/>
          <w:szCs w:val="22"/>
          <w:lang w:val="en-US"/>
        </w:rPr>
        <w:t>.</w:t>
      </w:r>
    </w:p>
    <w:p w14:paraId="7675F0E5" w14:textId="77777777" w:rsidR="00C10843" w:rsidRDefault="00C10843" w:rsidP="004959F9">
      <w:pPr>
        <w:pStyle w:val="paragraph"/>
        <w:spacing w:before="0" w:beforeAutospacing="0" w:after="0" w:afterAutospacing="0"/>
        <w:jc w:val="both"/>
        <w:textAlignment w:val="baseline"/>
        <w:rPr>
          <w:rStyle w:val="normaltextrun"/>
          <w:rFonts w:ascii="Calibri" w:hAnsi="Calibri" w:cs="Calibri"/>
          <w:sz w:val="22"/>
          <w:szCs w:val="22"/>
          <w:lang w:val="en-US"/>
        </w:rPr>
      </w:pPr>
    </w:p>
    <w:p w14:paraId="7550D277" w14:textId="4A6199DB" w:rsidR="00BF23F5" w:rsidRDefault="00C10843" w:rsidP="004959F9">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The </w:t>
      </w:r>
      <w:proofErr w:type="spellStart"/>
      <w:r w:rsidR="00E31493">
        <w:rPr>
          <w:rStyle w:val="normaltextrun"/>
          <w:rFonts w:ascii="Calibri" w:hAnsi="Calibri" w:cs="Calibri"/>
          <w:sz w:val="22"/>
          <w:szCs w:val="22"/>
          <w:lang w:val="en-US"/>
        </w:rPr>
        <w:t>ByteTree</w:t>
      </w:r>
      <w:proofErr w:type="spellEnd"/>
      <w:r w:rsidR="00E31493">
        <w:rPr>
          <w:rStyle w:val="normaltextrun"/>
          <w:rFonts w:ascii="Calibri" w:hAnsi="Calibri" w:cs="Calibri"/>
          <w:sz w:val="22"/>
          <w:szCs w:val="22"/>
          <w:lang w:val="en-US"/>
        </w:rPr>
        <w:t xml:space="preserve"> BOLD index </w:t>
      </w:r>
      <w:r>
        <w:rPr>
          <w:rStyle w:val="normaltextrun"/>
          <w:rFonts w:ascii="Calibri" w:hAnsi="Calibri" w:cs="Calibri"/>
          <w:sz w:val="22"/>
          <w:szCs w:val="22"/>
          <w:lang w:val="en-US"/>
        </w:rPr>
        <w:t xml:space="preserve">product has been developed in </w:t>
      </w:r>
      <w:r w:rsidR="00E31493">
        <w:rPr>
          <w:rStyle w:val="normaltextrun"/>
          <w:rFonts w:ascii="Calibri" w:hAnsi="Calibri" w:cs="Calibri"/>
          <w:sz w:val="22"/>
          <w:szCs w:val="22"/>
          <w:lang w:val="en-US"/>
        </w:rPr>
        <w:t>partnership</w:t>
      </w:r>
      <w:r>
        <w:rPr>
          <w:rStyle w:val="normaltextrun"/>
          <w:rFonts w:ascii="Calibri" w:hAnsi="Calibri" w:cs="Calibri"/>
          <w:sz w:val="22"/>
          <w:szCs w:val="22"/>
          <w:lang w:val="en-US"/>
        </w:rPr>
        <w:t xml:space="preserve"> with </w:t>
      </w:r>
      <w:proofErr w:type="spellStart"/>
      <w:r w:rsidR="004959F9" w:rsidRPr="004959F9">
        <w:rPr>
          <w:rStyle w:val="normaltextrun"/>
          <w:rFonts w:ascii="Calibri" w:hAnsi="Calibri" w:cs="Calibri"/>
          <w:sz w:val="22"/>
          <w:szCs w:val="22"/>
          <w:lang w:val="en-US"/>
        </w:rPr>
        <w:t>ByteTree</w:t>
      </w:r>
      <w:proofErr w:type="spellEnd"/>
      <w:r>
        <w:rPr>
          <w:rStyle w:val="normaltextrun"/>
          <w:rFonts w:ascii="Calibri" w:hAnsi="Calibri" w:cs="Calibri"/>
          <w:sz w:val="22"/>
          <w:szCs w:val="22"/>
          <w:lang w:val="en-US"/>
        </w:rPr>
        <w:t xml:space="preserve"> Asset Management</w:t>
      </w:r>
      <w:r w:rsidR="004959F9" w:rsidRPr="004959F9">
        <w:rPr>
          <w:rStyle w:val="normaltextrun"/>
          <w:rFonts w:ascii="Calibri" w:hAnsi="Calibri" w:cs="Calibri"/>
          <w:sz w:val="22"/>
          <w:szCs w:val="22"/>
          <w:lang w:val="en-US"/>
        </w:rPr>
        <w:t xml:space="preserve">, </w:t>
      </w:r>
      <w:r w:rsidR="007C5886">
        <w:rPr>
          <w:rStyle w:val="normaltextrun"/>
          <w:rFonts w:ascii="Calibri" w:hAnsi="Calibri" w:cs="Calibri"/>
          <w:sz w:val="22"/>
          <w:szCs w:val="22"/>
          <w:lang w:val="en-US"/>
        </w:rPr>
        <w:t xml:space="preserve">a </w:t>
      </w:r>
      <w:r w:rsidR="00621427">
        <w:rPr>
          <w:rStyle w:val="normaltextrun"/>
          <w:rFonts w:ascii="Calibri" w:hAnsi="Calibri" w:cs="Calibri"/>
          <w:sz w:val="22"/>
          <w:szCs w:val="22"/>
          <w:lang w:val="en-US"/>
        </w:rPr>
        <w:t>UK specialist provider and manager of alternative investment strategies</w:t>
      </w:r>
      <w:r w:rsidR="007C5886">
        <w:rPr>
          <w:rStyle w:val="normaltextrun"/>
          <w:rFonts w:ascii="Calibri" w:hAnsi="Calibri" w:cs="Calibri"/>
          <w:sz w:val="22"/>
          <w:szCs w:val="22"/>
          <w:lang w:val="en-US"/>
        </w:rPr>
        <w:t>.</w:t>
      </w:r>
      <w:r w:rsidR="00BF23F5">
        <w:rPr>
          <w:rStyle w:val="normaltextrun"/>
          <w:rFonts w:ascii="Calibri" w:hAnsi="Calibri" w:cs="Calibri"/>
          <w:sz w:val="22"/>
          <w:szCs w:val="22"/>
          <w:lang w:val="en-US"/>
        </w:rPr>
        <w:t xml:space="preserve"> </w:t>
      </w:r>
      <w:r w:rsidR="00C9777E" w:rsidRPr="004959F9">
        <w:rPr>
          <w:rStyle w:val="normaltextrun"/>
          <w:rFonts w:ascii="Calibri" w:hAnsi="Calibri" w:cs="Calibri"/>
          <w:sz w:val="22"/>
          <w:szCs w:val="22"/>
          <w:lang w:val="en-US"/>
        </w:rPr>
        <w:t>BOLD’s core investment objective is to deliver protection against inflation via optimi</w:t>
      </w:r>
      <w:r w:rsidR="00C9777E">
        <w:rPr>
          <w:rStyle w:val="normaltextrun"/>
          <w:rFonts w:ascii="Calibri" w:hAnsi="Calibri" w:cs="Calibri"/>
          <w:sz w:val="22"/>
          <w:szCs w:val="22"/>
          <w:lang w:val="en-US"/>
        </w:rPr>
        <w:t>z</w:t>
      </w:r>
      <w:r w:rsidR="00C9777E" w:rsidRPr="004959F9">
        <w:rPr>
          <w:rStyle w:val="normaltextrun"/>
          <w:rFonts w:ascii="Calibri" w:hAnsi="Calibri" w:cs="Calibri"/>
          <w:sz w:val="22"/>
          <w:szCs w:val="22"/>
          <w:lang w:val="en-US"/>
        </w:rPr>
        <w:t>ed risk adjusted exposure to Bitcoin and Gold with assets weighted in inverse proportion to their risk.</w:t>
      </w:r>
      <w:r w:rsidR="00C9777E">
        <w:rPr>
          <w:rStyle w:val="normaltextrun"/>
          <w:rFonts w:ascii="Calibri" w:hAnsi="Calibri" w:cs="Calibri"/>
          <w:sz w:val="22"/>
          <w:szCs w:val="22"/>
          <w:lang w:val="en-US"/>
        </w:rPr>
        <w:t xml:space="preserve"> </w:t>
      </w:r>
      <w:r w:rsidR="003F4AA1">
        <w:rPr>
          <w:rStyle w:val="normaltextrun"/>
          <w:rFonts w:ascii="Calibri" w:hAnsi="Calibri" w:cs="Calibri"/>
          <w:sz w:val="22"/>
          <w:szCs w:val="22"/>
          <w:lang w:val="en-US"/>
        </w:rPr>
        <w:t xml:space="preserve">It </w:t>
      </w:r>
      <w:r w:rsidR="00C9777E">
        <w:rPr>
          <w:rStyle w:val="normaltextrun"/>
          <w:rFonts w:ascii="Calibri" w:hAnsi="Calibri" w:cs="Calibri"/>
          <w:sz w:val="22"/>
          <w:szCs w:val="22"/>
          <w:lang w:val="en-US"/>
        </w:rPr>
        <w:t>is d</w:t>
      </w:r>
      <w:r w:rsidR="004959F9" w:rsidRPr="004959F9">
        <w:rPr>
          <w:rStyle w:val="normaltextrun"/>
          <w:rFonts w:ascii="Calibri" w:hAnsi="Calibri" w:cs="Calibri"/>
          <w:sz w:val="22"/>
          <w:szCs w:val="22"/>
          <w:lang w:val="en-US"/>
        </w:rPr>
        <w:t xml:space="preserve">esigned to be a new diversifier within a balanced portfolio, </w:t>
      </w:r>
      <w:r w:rsidR="00274B93">
        <w:rPr>
          <w:rStyle w:val="normaltextrun"/>
          <w:rFonts w:ascii="Calibri" w:hAnsi="Calibri" w:cs="Calibri"/>
          <w:sz w:val="22"/>
          <w:szCs w:val="22"/>
          <w:lang w:val="en-US"/>
        </w:rPr>
        <w:t xml:space="preserve">offering </w:t>
      </w:r>
      <w:r w:rsidR="004959F9" w:rsidRPr="004959F9">
        <w:rPr>
          <w:rStyle w:val="normaltextrun"/>
          <w:rFonts w:ascii="Calibri" w:hAnsi="Calibri" w:cs="Calibri"/>
          <w:sz w:val="22"/>
          <w:szCs w:val="22"/>
          <w:lang w:val="en-US"/>
        </w:rPr>
        <w:t>a low correlation to traditional asset classes.</w:t>
      </w:r>
    </w:p>
    <w:p w14:paraId="7BD894D0" w14:textId="77777777" w:rsidR="00BF23F5" w:rsidRDefault="00BF23F5" w:rsidP="004959F9">
      <w:pPr>
        <w:pStyle w:val="paragraph"/>
        <w:spacing w:before="0" w:beforeAutospacing="0" w:after="0" w:afterAutospacing="0"/>
        <w:jc w:val="both"/>
        <w:textAlignment w:val="baseline"/>
        <w:rPr>
          <w:rStyle w:val="normaltextrun"/>
          <w:rFonts w:ascii="Calibri" w:hAnsi="Calibri" w:cs="Calibri"/>
          <w:sz w:val="22"/>
          <w:szCs w:val="22"/>
          <w:lang w:val="en-US"/>
        </w:rPr>
      </w:pPr>
    </w:p>
    <w:p w14:paraId="60B3990A" w14:textId="5C03F884" w:rsidR="0056028A" w:rsidRPr="0056028A" w:rsidRDefault="004959F9" w:rsidP="00AB7C8A">
      <w:pPr>
        <w:pStyle w:val="paragraph"/>
        <w:spacing w:before="0" w:beforeAutospacing="0" w:after="0" w:afterAutospacing="0"/>
        <w:jc w:val="both"/>
        <w:textAlignment w:val="baseline"/>
        <w:rPr>
          <w:rStyle w:val="normaltextrun"/>
          <w:rFonts w:ascii="Calibri" w:hAnsi="Calibri" w:cs="Calibri"/>
          <w:sz w:val="22"/>
          <w:szCs w:val="22"/>
          <w:lang w:val="en-US"/>
        </w:rPr>
      </w:pPr>
      <w:r w:rsidRPr="00231D93">
        <w:rPr>
          <w:rStyle w:val="normaltextrun"/>
          <w:rFonts w:ascii="Calibri" w:hAnsi="Calibri" w:cs="Calibri"/>
          <w:sz w:val="22"/>
          <w:szCs w:val="22"/>
          <w:lang w:val="en-US"/>
        </w:rPr>
        <w:t>It will track a new customi</w:t>
      </w:r>
      <w:r w:rsidR="00E9154D" w:rsidRPr="00231D93">
        <w:rPr>
          <w:rStyle w:val="normaltextrun"/>
          <w:rFonts w:ascii="Calibri" w:hAnsi="Calibri" w:cs="Calibri"/>
          <w:sz w:val="22"/>
          <w:szCs w:val="22"/>
          <w:lang w:val="en-US"/>
        </w:rPr>
        <w:t>z</w:t>
      </w:r>
      <w:r w:rsidRPr="00231D93">
        <w:rPr>
          <w:rStyle w:val="normaltextrun"/>
          <w:rFonts w:ascii="Calibri" w:hAnsi="Calibri" w:cs="Calibri"/>
          <w:sz w:val="22"/>
          <w:szCs w:val="22"/>
          <w:lang w:val="en-US"/>
        </w:rPr>
        <w:t>ed benchmark/index comprising Bitcoin and Gold via monthly rebalancing</w:t>
      </w:r>
      <w:r w:rsidR="006D35E3" w:rsidRPr="00231D93">
        <w:rPr>
          <w:rStyle w:val="normaltextrun"/>
          <w:rFonts w:ascii="Calibri" w:hAnsi="Calibri" w:cs="Calibri"/>
          <w:sz w:val="22"/>
          <w:szCs w:val="22"/>
          <w:lang w:val="en-US"/>
        </w:rPr>
        <w:t>.</w:t>
      </w:r>
      <w:r w:rsidR="00AB7C8A" w:rsidRPr="00231D93">
        <w:rPr>
          <w:rStyle w:val="normaltextrun"/>
          <w:rFonts w:ascii="Calibri" w:hAnsi="Calibri" w:cs="Calibri"/>
          <w:sz w:val="22"/>
          <w:szCs w:val="22"/>
          <w:lang w:val="en-US"/>
        </w:rPr>
        <w:t xml:space="preserve"> The weighting at launch is 18.5% Bitcoin and 8</w:t>
      </w:r>
      <w:r w:rsidR="00231D93" w:rsidRPr="00231D93">
        <w:rPr>
          <w:rStyle w:val="normaltextrun"/>
          <w:rFonts w:ascii="Calibri" w:hAnsi="Calibri" w:cs="Calibri"/>
          <w:sz w:val="22"/>
          <w:szCs w:val="22"/>
          <w:lang w:val="en-US"/>
        </w:rPr>
        <w:t>1</w:t>
      </w:r>
      <w:r w:rsidR="00AB7C8A" w:rsidRPr="00231D93">
        <w:rPr>
          <w:rStyle w:val="normaltextrun"/>
          <w:rFonts w:ascii="Calibri" w:hAnsi="Calibri" w:cs="Calibri"/>
          <w:sz w:val="22"/>
          <w:szCs w:val="22"/>
          <w:lang w:val="en-US"/>
        </w:rPr>
        <w:t>.5%</w:t>
      </w:r>
      <w:r w:rsidR="00AB7C8A" w:rsidRPr="004959F9">
        <w:rPr>
          <w:rStyle w:val="normaltextrun"/>
          <w:rFonts w:ascii="Calibri" w:hAnsi="Calibri" w:cs="Calibri"/>
          <w:sz w:val="22"/>
          <w:szCs w:val="22"/>
          <w:lang w:val="en-US"/>
        </w:rPr>
        <w:t xml:space="preserve"> Gold.</w:t>
      </w:r>
      <w:r w:rsidR="0056028A">
        <w:rPr>
          <w:rStyle w:val="normaltextrun"/>
          <w:rFonts w:ascii="Calibri" w:hAnsi="Calibri" w:cs="Calibri"/>
          <w:sz w:val="22"/>
          <w:szCs w:val="22"/>
          <w:lang w:val="en-US"/>
        </w:rPr>
        <w:t xml:space="preserve"> Further information on the product can be found below.</w:t>
      </w:r>
    </w:p>
    <w:p w14:paraId="24E4886C" w14:textId="77777777" w:rsidR="00AB7C8A" w:rsidRDefault="00AB7C8A" w:rsidP="004959F9">
      <w:pPr>
        <w:pStyle w:val="paragraph"/>
        <w:spacing w:before="0" w:beforeAutospacing="0" w:after="0" w:afterAutospacing="0"/>
        <w:jc w:val="both"/>
        <w:textAlignment w:val="baseline"/>
        <w:rPr>
          <w:rStyle w:val="normaltextrun"/>
          <w:rFonts w:ascii="Calibri" w:hAnsi="Calibri" w:cs="Calibri"/>
          <w:sz w:val="22"/>
          <w:szCs w:val="22"/>
          <w:lang w:val="en-US"/>
        </w:rPr>
      </w:pPr>
    </w:p>
    <w:p w14:paraId="367138FF" w14:textId="70DB62E7" w:rsidR="00AB7C8A" w:rsidRPr="00D065D8" w:rsidRDefault="00AB7C8A" w:rsidP="00AB7C8A">
      <w:pPr>
        <w:pBdr>
          <w:top w:val="nil"/>
          <w:left w:val="nil"/>
          <w:bottom w:val="nil"/>
          <w:right w:val="nil"/>
          <w:between w:val="nil"/>
        </w:pBdr>
        <w:spacing w:after="0" w:line="240" w:lineRule="auto"/>
        <w:ind w:left="567"/>
        <w:rPr>
          <w:b/>
        </w:rPr>
      </w:pPr>
      <w:r w:rsidRPr="00D065D8">
        <w:rPr>
          <w:b/>
        </w:rPr>
        <w:t xml:space="preserve">21Shares </w:t>
      </w:r>
      <w:proofErr w:type="spellStart"/>
      <w:r>
        <w:rPr>
          <w:b/>
        </w:rPr>
        <w:t>ByteTree</w:t>
      </w:r>
      <w:proofErr w:type="spellEnd"/>
      <w:r>
        <w:rPr>
          <w:b/>
        </w:rPr>
        <w:t xml:space="preserve"> BOLD ETP</w:t>
      </w:r>
      <w:r w:rsidRPr="00D065D8">
        <w:rPr>
          <w:b/>
        </w:rPr>
        <w:t xml:space="preserve"> (</w:t>
      </w:r>
      <w:r>
        <w:rPr>
          <w:b/>
        </w:rPr>
        <w:t>BOLD SW</w:t>
      </w:r>
      <w:r w:rsidRPr="00D065D8">
        <w:rPr>
          <w:b/>
        </w:rPr>
        <w:t>):</w:t>
      </w:r>
      <w:r>
        <w:rPr>
          <w:b/>
        </w:rPr>
        <w:br/>
      </w:r>
      <w:r w:rsidRPr="00EB7D18">
        <w:t xml:space="preserve">BOLD aims to </w:t>
      </w:r>
      <w:proofErr w:type="spellStart"/>
      <w:r w:rsidR="00E9154D">
        <w:t>protect</w:t>
      </w:r>
      <w:r w:rsidRPr="00EB7D18">
        <w:t>against</w:t>
      </w:r>
      <w:proofErr w:type="spellEnd"/>
      <w:r w:rsidRPr="00EB7D18">
        <w:t xml:space="preserve"> inflation, giving optimal risk-adjusted exposure to Bitcoin and Gold</w:t>
      </w:r>
      <w:r>
        <w:t>. It s</w:t>
      </w:r>
      <w:r w:rsidRPr="00EB7D18">
        <w:t xml:space="preserve">eeks to track an </w:t>
      </w:r>
      <w:r>
        <w:t>i</w:t>
      </w:r>
      <w:r w:rsidRPr="00EB7D18">
        <w:t>ndex comprising Bitcoin and Gold</w:t>
      </w:r>
      <w:r>
        <w:t>,</w:t>
      </w:r>
      <w:r w:rsidRPr="00EB7D18">
        <w:t xml:space="preserve"> which rebalances monthly according to the inverse historic</w:t>
      </w:r>
      <w:r w:rsidR="00E9154D">
        <w:t>al</w:t>
      </w:r>
      <w:r w:rsidRPr="00EB7D18">
        <w:t xml:space="preserve"> volatility (360-day) of each asset</w:t>
      </w:r>
      <w:r>
        <w:t>.</w:t>
      </w:r>
    </w:p>
    <w:p w14:paraId="66BB31C5" w14:textId="54A884CA" w:rsidR="00AB7C8A" w:rsidRPr="00D75141" w:rsidRDefault="00AB7C8A" w:rsidP="00AB7C8A">
      <w:pPr>
        <w:numPr>
          <w:ilvl w:val="0"/>
          <w:numId w:val="1"/>
        </w:numPr>
        <w:pBdr>
          <w:top w:val="nil"/>
          <w:left w:val="nil"/>
          <w:bottom w:val="nil"/>
          <w:right w:val="nil"/>
          <w:between w:val="nil"/>
        </w:pBdr>
        <w:spacing w:after="0" w:line="240" w:lineRule="auto"/>
        <w:ind w:left="851" w:hanging="284"/>
        <w:rPr>
          <w:rStyle w:val="normaltextrun"/>
          <w:b/>
        </w:rPr>
      </w:pPr>
      <w:r w:rsidRPr="00D75141">
        <w:rPr>
          <w:b/>
        </w:rPr>
        <w:t>SIX Swiss Exchange, ISIN: CH1146882308, Ticker: BOLD SW, Trading currency: USD</w:t>
      </w:r>
    </w:p>
    <w:p w14:paraId="50340B78" w14:textId="77777777" w:rsidR="003A237C" w:rsidRDefault="003A237C" w:rsidP="004959F9">
      <w:pPr>
        <w:pStyle w:val="paragraph"/>
        <w:spacing w:before="0" w:beforeAutospacing="0" w:after="0" w:afterAutospacing="0"/>
        <w:jc w:val="both"/>
        <w:textAlignment w:val="baseline"/>
        <w:rPr>
          <w:rStyle w:val="normaltextrun"/>
          <w:rFonts w:ascii="Calibri" w:hAnsi="Calibri" w:cs="Calibri"/>
          <w:sz w:val="22"/>
          <w:szCs w:val="22"/>
          <w:lang w:val="en-US"/>
        </w:rPr>
      </w:pPr>
    </w:p>
    <w:p w14:paraId="218BC7C7" w14:textId="1A04A066" w:rsidR="003A237C" w:rsidRPr="003A237C" w:rsidRDefault="00B8580D" w:rsidP="004959F9">
      <w:pPr>
        <w:pStyle w:val="paragraph"/>
        <w:spacing w:before="0" w:beforeAutospacing="0" w:after="0" w:afterAutospacing="0"/>
        <w:jc w:val="both"/>
        <w:textAlignment w:val="baseline"/>
        <w:rPr>
          <w:rStyle w:val="normaltextrun"/>
          <w:rFonts w:ascii="Calibri" w:hAnsi="Calibri" w:cs="Calibri"/>
          <w:b/>
          <w:sz w:val="22"/>
          <w:szCs w:val="22"/>
          <w:lang w:val="en-US"/>
        </w:rPr>
      </w:pPr>
      <w:r>
        <w:rPr>
          <w:rStyle w:val="normaltextrun"/>
          <w:rFonts w:ascii="Calibri" w:hAnsi="Calibri" w:cs="Calibri"/>
          <w:b/>
          <w:sz w:val="22"/>
          <w:szCs w:val="22"/>
          <w:lang w:val="en-US"/>
        </w:rPr>
        <w:t>Combination of two inflation-resist</w:t>
      </w:r>
      <w:r w:rsidR="00164F1B">
        <w:rPr>
          <w:rStyle w:val="normaltextrun"/>
          <w:rFonts w:ascii="Calibri" w:hAnsi="Calibri" w:cs="Calibri"/>
          <w:b/>
          <w:sz w:val="22"/>
          <w:szCs w:val="22"/>
          <w:lang w:val="en-US"/>
        </w:rPr>
        <w:t>a</w:t>
      </w:r>
      <w:r>
        <w:rPr>
          <w:rStyle w:val="normaltextrun"/>
          <w:rFonts w:ascii="Calibri" w:hAnsi="Calibri" w:cs="Calibri"/>
          <w:b/>
          <w:sz w:val="22"/>
          <w:szCs w:val="22"/>
          <w:lang w:val="en-US"/>
        </w:rPr>
        <w:t>nt assets</w:t>
      </w:r>
    </w:p>
    <w:p w14:paraId="0DE57C37" w14:textId="748F2388" w:rsidR="00CF53E8" w:rsidRDefault="0011555E" w:rsidP="00267F95">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The 21Sh</w:t>
      </w:r>
      <w:r w:rsidR="00601095">
        <w:rPr>
          <w:rStyle w:val="normaltextrun"/>
          <w:rFonts w:ascii="Calibri" w:hAnsi="Calibri" w:cs="Calibri"/>
          <w:sz w:val="22"/>
          <w:szCs w:val="22"/>
          <w:lang w:val="en-US"/>
        </w:rPr>
        <w:t>a</w:t>
      </w:r>
      <w:r>
        <w:rPr>
          <w:rStyle w:val="normaltextrun"/>
          <w:rFonts w:ascii="Calibri" w:hAnsi="Calibri" w:cs="Calibri"/>
          <w:sz w:val="22"/>
          <w:szCs w:val="22"/>
          <w:lang w:val="en-US"/>
        </w:rPr>
        <w:t xml:space="preserve">res </w:t>
      </w:r>
      <w:proofErr w:type="spellStart"/>
      <w:r>
        <w:rPr>
          <w:rStyle w:val="normaltextrun"/>
          <w:rFonts w:ascii="Calibri" w:hAnsi="Calibri" w:cs="Calibri"/>
          <w:sz w:val="22"/>
          <w:szCs w:val="22"/>
          <w:lang w:val="en-US"/>
        </w:rPr>
        <w:t>ByteTree</w:t>
      </w:r>
      <w:proofErr w:type="spellEnd"/>
      <w:r>
        <w:rPr>
          <w:rStyle w:val="normaltextrun"/>
          <w:rFonts w:ascii="Calibri" w:hAnsi="Calibri" w:cs="Calibri"/>
          <w:sz w:val="22"/>
          <w:szCs w:val="22"/>
          <w:lang w:val="en-US"/>
        </w:rPr>
        <w:t xml:space="preserve"> BOLD ETP combines the best of the old and new worlds of finance.</w:t>
      </w:r>
      <w:r w:rsidR="00606E30" w:rsidRPr="00606E30">
        <w:rPr>
          <w:rStyle w:val="normaltextrun"/>
          <w:rFonts w:ascii="Calibri" w:hAnsi="Calibri" w:cs="Calibri"/>
          <w:sz w:val="22"/>
          <w:szCs w:val="22"/>
          <w:lang w:val="en-US"/>
        </w:rPr>
        <w:t xml:space="preserve"> </w:t>
      </w:r>
      <w:r w:rsidR="005C2763">
        <w:rPr>
          <w:rStyle w:val="normaltextrun"/>
          <w:rFonts w:ascii="Calibri" w:hAnsi="Calibri" w:cs="Calibri"/>
          <w:sz w:val="22"/>
          <w:szCs w:val="22"/>
          <w:lang w:val="en-US"/>
        </w:rPr>
        <w:t>As the oldest asset class, G</w:t>
      </w:r>
      <w:r w:rsidR="00606E30" w:rsidRPr="00B6723D">
        <w:rPr>
          <w:rStyle w:val="normaltextrun"/>
          <w:rFonts w:ascii="Calibri" w:hAnsi="Calibri" w:cs="Calibri"/>
          <w:sz w:val="22"/>
          <w:szCs w:val="22"/>
          <w:lang w:val="en-US"/>
        </w:rPr>
        <w:t>old has historically delivered portfolio protection in</w:t>
      </w:r>
      <w:r w:rsidR="00606E30">
        <w:rPr>
          <w:rStyle w:val="normaltextrun"/>
          <w:rFonts w:ascii="Calibri" w:hAnsi="Calibri" w:cs="Calibri"/>
          <w:sz w:val="22"/>
          <w:szCs w:val="22"/>
          <w:lang w:val="en-US"/>
        </w:rPr>
        <w:t xml:space="preserve"> </w:t>
      </w:r>
      <w:r w:rsidR="00606E30" w:rsidRPr="00B6723D">
        <w:rPr>
          <w:rStyle w:val="normaltextrun"/>
          <w:rFonts w:ascii="Calibri" w:hAnsi="Calibri" w:cs="Calibri"/>
          <w:sz w:val="22"/>
          <w:szCs w:val="22"/>
          <w:lang w:val="en-US"/>
        </w:rPr>
        <w:t>inflationary environments</w:t>
      </w:r>
      <w:r w:rsidR="00596E68">
        <w:rPr>
          <w:rStyle w:val="normaltextrun"/>
          <w:rFonts w:ascii="Calibri" w:hAnsi="Calibri" w:cs="Calibri"/>
          <w:sz w:val="22"/>
          <w:szCs w:val="22"/>
          <w:lang w:val="en-US"/>
        </w:rPr>
        <w:t>.</w:t>
      </w:r>
      <w:r w:rsidR="00596E68" w:rsidRPr="00596E68">
        <w:rPr>
          <w:rStyle w:val="normaltextrun"/>
          <w:rFonts w:ascii="Calibri" w:hAnsi="Calibri" w:cs="Calibri"/>
          <w:sz w:val="22"/>
          <w:szCs w:val="22"/>
          <w:lang w:val="en-US"/>
        </w:rPr>
        <w:t xml:space="preserve"> </w:t>
      </w:r>
      <w:r w:rsidR="00596E68" w:rsidRPr="00B6723D">
        <w:rPr>
          <w:rStyle w:val="normaltextrun"/>
          <w:rFonts w:ascii="Calibri" w:hAnsi="Calibri" w:cs="Calibri"/>
          <w:sz w:val="22"/>
          <w:szCs w:val="22"/>
          <w:lang w:val="en-US"/>
        </w:rPr>
        <w:t xml:space="preserve">Bitcoin is the digital equivalent of </w:t>
      </w:r>
      <w:r w:rsidR="003065E8">
        <w:rPr>
          <w:rStyle w:val="normaltextrun"/>
          <w:rFonts w:ascii="Calibri" w:hAnsi="Calibri" w:cs="Calibri"/>
          <w:sz w:val="22"/>
          <w:szCs w:val="22"/>
          <w:lang w:val="en-US"/>
        </w:rPr>
        <w:t>G</w:t>
      </w:r>
      <w:r w:rsidR="00596E68" w:rsidRPr="00B6723D">
        <w:rPr>
          <w:rStyle w:val="normaltextrun"/>
          <w:rFonts w:ascii="Calibri" w:hAnsi="Calibri" w:cs="Calibri"/>
          <w:sz w:val="22"/>
          <w:szCs w:val="22"/>
          <w:lang w:val="en-US"/>
        </w:rPr>
        <w:t xml:space="preserve">old, </w:t>
      </w:r>
      <w:r w:rsidR="00596E68">
        <w:rPr>
          <w:rStyle w:val="normaltextrun"/>
          <w:rFonts w:ascii="Calibri" w:hAnsi="Calibri" w:cs="Calibri"/>
          <w:sz w:val="22"/>
          <w:szCs w:val="22"/>
          <w:lang w:val="en-US"/>
        </w:rPr>
        <w:t xml:space="preserve">considering </w:t>
      </w:r>
      <w:r w:rsidR="00D75141">
        <w:rPr>
          <w:rStyle w:val="normaltextrun"/>
          <w:rFonts w:ascii="Calibri" w:hAnsi="Calibri" w:cs="Calibri"/>
          <w:sz w:val="22"/>
          <w:szCs w:val="22"/>
          <w:lang w:val="en-US"/>
        </w:rPr>
        <w:t xml:space="preserve">its </w:t>
      </w:r>
      <w:r w:rsidR="00596E68" w:rsidRPr="00B6723D">
        <w:rPr>
          <w:rStyle w:val="normaltextrun"/>
          <w:rFonts w:ascii="Calibri" w:hAnsi="Calibri" w:cs="Calibri"/>
          <w:sz w:val="22"/>
          <w:szCs w:val="22"/>
          <w:lang w:val="en-US"/>
        </w:rPr>
        <w:t>growing</w:t>
      </w:r>
      <w:r w:rsidR="00596E68">
        <w:rPr>
          <w:rStyle w:val="normaltextrun"/>
          <w:rFonts w:ascii="Calibri" w:hAnsi="Calibri" w:cs="Calibri"/>
          <w:sz w:val="22"/>
          <w:szCs w:val="22"/>
          <w:lang w:val="en-US"/>
        </w:rPr>
        <w:t xml:space="preserve"> </w:t>
      </w:r>
      <w:r w:rsidR="00596E68" w:rsidRPr="00B6723D">
        <w:rPr>
          <w:rStyle w:val="normaltextrun"/>
          <w:rFonts w:ascii="Calibri" w:hAnsi="Calibri" w:cs="Calibri"/>
          <w:sz w:val="22"/>
          <w:szCs w:val="22"/>
          <w:lang w:val="en-US"/>
        </w:rPr>
        <w:t>adoption as a store of wealth</w:t>
      </w:r>
      <w:r w:rsidR="00596E68">
        <w:rPr>
          <w:rStyle w:val="normaltextrun"/>
          <w:rFonts w:ascii="Calibri" w:hAnsi="Calibri" w:cs="Calibri"/>
          <w:sz w:val="22"/>
          <w:szCs w:val="22"/>
          <w:lang w:val="en-US"/>
        </w:rPr>
        <w:t>.</w:t>
      </w:r>
      <w:r w:rsidR="003065E8">
        <w:rPr>
          <w:rStyle w:val="normaltextrun"/>
          <w:rFonts w:ascii="Calibri" w:hAnsi="Calibri" w:cs="Calibri"/>
          <w:sz w:val="22"/>
          <w:szCs w:val="22"/>
          <w:lang w:val="en-US"/>
        </w:rPr>
        <w:t xml:space="preserve"> B</w:t>
      </w:r>
      <w:r w:rsidR="00CF53E8" w:rsidRPr="00B6723D">
        <w:rPr>
          <w:rStyle w:val="normaltextrun"/>
          <w:rFonts w:ascii="Calibri" w:hAnsi="Calibri" w:cs="Calibri"/>
          <w:sz w:val="22"/>
          <w:szCs w:val="22"/>
          <w:lang w:val="en-US"/>
        </w:rPr>
        <w:t>oth are liquid hard assets</w:t>
      </w:r>
      <w:r w:rsidR="00CF53E8">
        <w:rPr>
          <w:rStyle w:val="normaltextrun"/>
          <w:rFonts w:ascii="Calibri" w:hAnsi="Calibri" w:cs="Calibri"/>
          <w:sz w:val="22"/>
          <w:szCs w:val="22"/>
          <w:lang w:val="en-US"/>
        </w:rPr>
        <w:t xml:space="preserve"> </w:t>
      </w:r>
      <w:r w:rsidR="006713D6">
        <w:rPr>
          <w:rStyle w:val="normaltextrun"/>
          <w:rFonts w:ascii="Calibri" w:hAnsi="Calibri" w:cs="Calibri"/>
          <w:sz w:val="22"/>
          <w:szCs w:val="22"/>
          <w:lang w:val="en-US"/>
        </w:rPr>
        <w:t xml:space="preserve">deemed </w:t>
      </w:r>
      <w:r w:rsidR="00CF53E8">
        <w:rPr>
          <w:rStyle w:val="normaltextrun"/>
          <w:rFonts w:ascii="Calibri" w:hAnsi="Calibri" w:cs="Calibri"/>
          <w:sz w:val="22"/>
          <w:szCs w:val="22"/>
          <w:lang w:val="en-US"/>
        </w:rPr>
        <w:t>resistant to inflation</w:t>
      </w:r>
      <w:r w:rsidR="0049110A">
        <w:rPr>
          <w:rStyle w:val="normaltextrun"/>
          <w:rFonts w:ascii="Calibri" w:hAnsi="Calibri" w:cs="Calibri"/>
          <w:sz w:val="22"/>
          <w:szCs w:val="22"/>
          <w:lang w:val="en-US"/>
        </w:rPr>
        <w:t xml:space="preserve"> and have delivered strong returns since 2015</w:t>
      </w:r>
      <w:r w:rsidR="00FF4C41">
        <w:rPr>
          <w:rStyle w:val="normaltextrun"/>
          <w:rFonts w:ascii="Calibri" w:hAnsi="Calibri" w:cs="Calibri"/>
          <w:sz w:val="22"/>
          <w:szCs w:val="22"/>
          <w:lang w:val="en-US"/>
        </w:rPr>
        <w:t>.</w:t>
      </w:r>
    </w:p>
    <w:p w14:paraId="6E28696D" w14:textId="77777777" w:rsidR="00657EBA" w:rsidRPr="00B6723D" w:rsidRDefault="00657EBA" w:rsidP="00267F95">
      <w:pPr>
        <w:pStyle w:val="paragraph"/>
        <w:spacing w:before="0" w:beforeAutospacing="0" w:after="0" w:afterAutospacing="0"/>
        <w:jc w:val="both"/>
        <w:textAlignment w:val="baseline"/>
        <w:rPr>
          <w:rStyle w:val="normaltextrun"/>
          <w:rFonts w:ascii="Calibri" w:hAnsi="Calibri" w:cs="Calibri"/>
          <w:sz w:val="22"/>
          <w:szCs w:val="22"/>
          <w:lang w:val="en-US"/>
        </w:rPr>
      </w:pPr>
    </w:p>
    <w:p w14:paraId="2C7F7C88" w14:textId="31E99B07" w:rsidR="0049110A" w:rsidRDefault="00AB7C8A" w:rsidP="00C759D8">
      <w:pPr>
        <w:pStyle w:val="paragraph"/>
        <w:spacing w:before="0" w:beforeAutospacing="0" w:after="0" w:afterAutospacing="0"/>
        <w:jc w:val="both"/>
        <w:textAlignment w:val="baseline"/>
        <w:rPr>
          <w:rStyle w:val="normaltextrun"/>
          <w:rFonts w:ascii="Calibri" w:hAnsi="Calibri" w:cs="Calibri"/>
          <w:sz w:val="22"/>
          <w:szCs w:val="22"/>
          <w:lang w:val="en-US"/>
        </w:rPr>
      </w:pPr>
      <w:r w:rsidRPr="004959F9">
        <w:rPr>
          <w:rStyle w:val="normaltextrun"/>
          <w:rFonts w:ascii="Calibri" w:hAnsi="Calibri" w:cs="Calibri"/>
          <w:sz w:val="22"/>
          <w:szCs w:val="22"/>
          <w:lang w:val="en-US"/>
        </w:rPr>
        <w:t xml:space="preserve">BOLD brings Gold and Bitcoin together in a monthly rebalancing strategy that adjusts weightings according to the riskiness of each asset </w:t>
      </w:r>
      <w:r>
        <w:rPr>
          <w:rStyle w:val="normaltextrun"/>
          <w:rFonts w:ascii="Calibri" w:hAnsi="Calibri" w:cs="Calibri"/>
          <w:sz w:val="22"/>
          <w:szCs w:val="22"/>
          <w:lang w:val="en-US"/>
        </w:rPr>
        <w:t>–</w:t>
      </w:r>
      <w:r w:rsidRPr="004959F9">
        <w:rPr>
          <w:rStyle w:val="normaltextrun"/>
          <w:rFonts w:ascii="Calibri" w:hAnsi="Calibri" w:cs="Calibri"/>
          <w:sz w:val="22"/>
          <w:szCs w:val="22"/>
          <w:lang w:val="en-US"/>
        </w:rPr>
        <w:t xml:space="preserve"> the less volatile asset will be accorded the higher weighting. By automatically adjusting weightings the rebalancing aims to smooth and enhance combined returns over time - the strategy continually favors the less risky asset, as measured by historic volatility. </w:t>
      </w:r>
      <w:r w:rsidRPr="004959F9">
        <w:rPr>
          <w:rStyle w:val="eop"/>
          <w:rFonts w:ascii="Calibri" w:hAnsi="Calibri" w:cs="Calibri"/>
          <w:sz w:val="22"/>
          <w:szCs w:val="22"/>
          <w:lang w:val="en-US"/>
        </w:rPr>
        <w:t> </w:t>
      </w:r>
      <w:r w:rsidRPr="004959F9">
        <w:rPr>
          <w:rStyle w:val="normaltextrun"/>
          <w:rFonts w:ascii="Calibri" w:hAnsi="Calibri" w:cs="Calibri"/>
          <w:sz w:val="22"/>
          <w:szCs w:val="22"/>
          <w:lang w:val="en-US"/>
        </w:rPr>
        <w:t xml:space="preserve">Gold </w:t>
      </w:r>
      <w:r w:rsidR="00D75141">
        <w:rPr>
          <w:rStyle w:val="normaltextrun"/>
          <w:rFonts w:ascii="Calibri" w:hAnsi="Calibri" w:cs="Calibri"/>
          <w:sz w:val="22"/>
          <w:szCs w:val="22"/>
          <w:lang w:val="en-US"/>
        </w:rPr>
        <w:t xml:space="preserve">performs </w:t>
      </w:r>
      <w:r w:rsidRPr="004959F9">
        <w:rPr>
          <w:rStyle w:val="normaltextrun"/>
          <w:rFonts w:ascii="Calibri" w:hAnsi="Calibri" w:cs="Calibri"/>
          <w:sz w:val="22"/>
          <w:szCs w:val="22"/>
          <w:lang w:val="en-US"/>
        </w:rPr>
        <w:t>well in “risk-off” economic environments, while Bitcoin has performed well in “risk-on” economic environments.</w:t>
      </w:r>
    </w:p>
    <w:p w14:paraId="1E71C83C" w14:textId="77777777" w:rsidR="00C759D8" w:rsidRPr="00C759D8" w:rsidRDefault="00C759D8" w:rsidP="00C759D8">
      <w:pPr>
        <w:pStyle w:val="paragraph"/>
        <w:spacing w:before="0" w:beforeAutospacing="0" w:after="0" w:afterAutospacing="0"/>
        <w:jc w:val="both"/>
        <w:textAlignment w:val="baseline"/>
        <w:rPr>
          <w:rStyle w:val="normaltextrun"/>
          <w:rFonts w:ascii="Calibri" w:hAnsi="Calibri" w:cs="Calibri"/>
          <w:sz w:val="22"/>
          <w:szCs w:val="22"/>
          <w:lang w:val="en-US"/>
        </w:rPr>
      </w:pPr>
    </w:p>
    <w:p w14:paraId="2A3919D9" w14:textId="69ED1C6E" w:rsidR="00F36518" w:rsidRDefault="0049110A" w:rsidP="004D2A88">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b/>
          <w:sz w:val="22"/>
          <w:szCs w:val="22"/>
          <w:lang w:val="en-US"/>
        </w:rPr>
        <w:t xml:space="preserve">Commenting </w:t>
      </w:r>
      <w:r w:rsidR="009F663C">
        <w:rPr>
          <w:rStyle w:val="normaltextrun"/>
          <w:rFonts w:ascii="Calibri" w:hAnsi="Calibri" w:cs="Calibri"/>
          <w:b/>
          <w:sz w:val="22"/>
          <w:szCs w:val="22"/>
          <w:lang w:val="en-US"/>
        </w:rPr>
        <w:t xml:space="preserve">on the joint product launch, </w:t>
      </w:r>
      <w:r w:rsidR="002F149C" w:rsidRPr="002F149C">
        <w:rPr>
          <w:rStyle w:val="normaltextrun"/>
          <w:rFonts w:ascii="Calibri" w:hAnsi="Calibri" w:cs="Calibri"/>
          <w:b/>
          <w:sz w:val="22"/>
          <w:szCs w:val="22"/>
          <w:lang w:val="en-US"/>
        </w:rPr>
        <w:t xml:space="preserve">Hany Rashwan, </w:t>
      </w:r>
      <w:proofErr w:type="gramStart"/>
      <w:r w:rsidR="002F149C" w:rsidRPr="002F149C">
        <w:rPr>
          <w:rStyle w:val="normaltextrun"/>
          <w:rFonts w:ascii="Calibri" w:hAnsi="Calibri" w:cs="Calibri"/>
          <w:b/>
          <w:sz w:val="22"/>
          <w:szCs w:val="22"/>
          <w:lang w:val="en-US"/>
        </w:rPr>
        <w:t>CEO</w:t>
      </w:r>
      <w:proofErr w:type="gramEnd"/>
      <w:r w:rsidR="002F149C" w:rsidRPr="002F149C">
        <w:rPr>
          <w:rStyle w:val="normaltextrun"/>
          <w:rFonts w:ascii="Calibri" w:hAnsi="Calibri" w:cs="Calibri"/>
          <w:b/>
          <w:sz w:val="22"/>
          <w:szCs w:val="22"/>
          <w:lang w:val="en-US"/>
        </w:rPr>
        <w:t xml:space="preserve"> and co-founder of 21Shares</w:t>
      </w:r>
      <w:r w:rsidR="009F663C">
        <w:rPr>
          <w:rStyle w:val="normaltextrun"/>
          <w:rFonts w:ascii="Calibri" w:hAnsi="Calibri" w:cs="Calibri"/>
          <w:b/>
          <w:sz w:val="22"/>
          <w:szCs w:val="22"/>
          <w:lang w:val="en-US"/>
        </w:rPr>
        <w:t>, said</w:t>
      </w:r>
      <w:r w:rsidR="002F149C" w:rsidRPr="002F149C">
        <w:rPr>
          <w:rStyle w:val="normaltextrun"/>
          <w:rFonts w:ascii="Calibri" w:hAnsi="Calibri" w:cs="Calibri"/>
          <w:b/>
          <w:sz w:val="22"/>
          <w:szCs w:val="22"/>
          <w:lang w:val="en-US"/>
        </w:rPr>
        <w:t>:</w:t>
      </w:r>
      <w:r w:rsidR="007B20FD">
        <w:rPr>
          <w:rFonts w:ascii="Segoe UI" w:hAnsi="Segoe UI" w:cs="Segoe UI"/>
          <w:b/>
          <w:sz w:val="18"/>
          <w:szCs w:val="18"/>
          <w:lang w:val="en-US"/>
        </w:rPr>
        <w:t xml:space="preserve"> </w:t>
      </w:r>
      <w:r w:rsidR="007B20FD">
        <w:rPr>
          <w:rStyle w:val="normaltextrun"/>
          <w:rFonts w:ascii="Calibri" w:hAnsi="Calibri" w:cs="Calibri"/>
          <w:sz w:val="22"/>
          <w:szCs w:val="22"/>
          <w:lang w:val="en-US"/>
        </w:rPr>
        <w:t>“</w:t>
      </w:r>
      <w:r w:rsidR="002B7847">
        <w:rPr>
          <w:rStyle w:val="normaltextrun"/>
          <w:rFonts w:ascii="Calibri" w:hAnsi="Calibri" w:cs="Calibri"/>
          <w:sz w:val="22"/>
          <w:szCs w:val="22"/>
          <w:lang w:val="en-US"/>
        </w:rPr>
        <w:t>At 21Shares, we are excited to</w:t>
      </w:r>
      <w:r w:rsidR="0003357A">
        <w:rPr>
          <w:rStyle w:val="normaltextrun"/>
          <w:rFonts w:ascii="Calibri" w:hAnsi="Calibri" w:cs="Calibri"/>
          <w:sz w:val="22"/>
          <w:szCs w:val="22"/>
          <w:lang w:val="en-US"/>
        </w:rPr>
        <w:t xml:space="preserve"> introduce the public to the world’s first Bitcoin and Gold ETP.</w:t>
      </w:r>
      <w:r w:rsidR="002C25B0">
        <w:rPr>
          <w:rStyle w:val="normaltextrun"/>
          <w:rFonts w:ascii="Calibri" w:hAnsi="Calibri" w:cs="Calibri"/>
          <w:sz w:val="22"/>
          <w:szCs w:val="22"/>
          <w:lang w:val="en-US"/>
        </w:rPr>
        <w:t xml:space="preserve"> </w:t>
      </w:r>
      <w:r w:rsidR="007017A9">
        <w:rPr>
          <w:rStyle w:val="normaltextrun"/>
          <w:rFonts w:ascii="Calibri" w:hAnsi="Calibri" w:cs="Calibri"/>
          <w:sz w:val="22"/>
          <w:szCs w:val="22"/>
          <w:lang w:val="en-US"/>
        </w:rPr>
        <w:t>This hy</w:t>
      </w:r>
      <w:r w:rsidR="00064F69">
        <w:rPr>
          <w:rStyle w:val="normaltextrun"/>
          <w:rFonts w:ascii="Calibri" w:hAnsi="Calibri" w:cs="Calibri"/>
          <w:sz w:val="22"/>
          <w:szCs w:val="22"/>
          <w:lang w:val="en-US"/>
        </w:rPr>
        <w:t>brid</w:t>
      </w:r>
      <w:r w:rsidR="007017A9">
        <w:rPr>
          <w:rStyle w:val="normaltextrun"/>
          <w:rFonts w:ascii="Calibri" w:hAnsi="Calibri" w:cs="Calibri"/>
          <w:sz w:val="22"/>
          <w:szCs w:val="22"/>
          <w:lang w:val="en-US"/>
        </w:rPr>
        <w:t xml:space="preserve"> product </w:t>
      </w:r>
      <w:r w:rsidR="00B840B1">
        <w:rPr>
          <w:rStyle w:val="normaltextrun"/>
          <w:rFonts w:ascii="Calibri" w:hAnsi="Calibri" w:cs="Calibri"/>
          <w:sz w:val="22"/>
          <w:szCs w:val="22"/>
          <w:lang w:val="en-US"/>
        </w:rPr>
        <w:t xml:space="preserve">combines </w:t>
      </w:r>
      <w:r w:rsidR="00485896">
        <w:rPr>
          <w:rStyle w:val="normaltextrun"/>
          <w:rFonts w:ascii="Calibri" w:hAnsi="Calibri" w:cs="Calibri"/>
          <w:sz w:val="22"/>
          <w:szCs w:val="22"/>
          <w:lang w:val="en-US"/>
        </w:rPr>
        <w:t xml:space="preserve">the traditional value of Gold with the promising return rates of </w:t>
      </w:r>
      <w:r w:rsidR="00C759D8">
        <w:rPr>
          <w:rStyle w:val="normaltextrun"/>
          <w:rFonts w:ascii="Calibri" w:hAnsi="Calibri" w:cs="Calibri"/>
          <w:sz w:val="22"/>
          <w:szCs w:val="22"/>
          <w:lang w:val="en-US"/>
        </w:rPr>
        <w:t>Bitcoin, which is considered by many as the new Gold</w:t>
      </w:r>
      <w:r w:rsidR="00485896">
        <w:rPr>
          <w:rStyle w:val="normaltextrun"/>
          <w:rFonts w:ascii="Calibri" w:hAnsi="Calibri" w:cs="Calibri"/>
          <w:sz w:val="22"/>
          <w:szCs w:val="22"/>
          <w:lang w:val="en-US"/>
        </w:rPr>
        <w:t>.</w:t>
      </w:r>
      <w:r w:rsidR="002C25B0">
        <w:rPr>
          <w:rStyle w:val="normaltextrun"/>
          <w:rFonts w:ascii="Calibri" w:hAnsi="Calibri" w:cs="Calibri"/>
          <w:sz w:val="22"/>
          <w:szCs w:val="22"/>
          <w:lang w:val="en-US"/>
        </w:rPr>
        <w:t xml:space="preserve"> With BOLD, </w:t>
      </w:r>
      <w:r w:rsidR="00064F69">
        <w:rPr>
          <w:rStyle w:val="normaltextrun"/>
          <w:rFonts w:ascii="Calibri" w:hAnsi="Calibri" w:cs="Calibri"/>
          <w:sz w:val="22"/>
          <w:szCs w:val="22"/>
          <w:lang w:val="en-US"/>
        </w:rPr>
        <w:t xml:space="preserve">we </w:t>
      </w:r>
      <w:r w:rsidR="0090125E">
        <w:rPr>
          <w:rStyle w:val="normaltextrun"/>
          <w:rFonts w:ascii="Calibri" w:hAnsi="Calibri" w:cs="Calibri"/>
          <w:sz w:val="22"/>
          <w:szCs w:val="22"/>
          <w:lang w:val="en-US"/>
        </w:rPr>
        <w:t xml:space="preserve">are </w:t>
      </w:r>
      <w:r w:rsidR="004D2A88">
        <w:rPr>
          <w:rStyle w:val="normaltextrun"/>
          <w:rFonts w:ascii="Calibri" w:hAnsi="Calibri" w:cs="Calibri"/>
          <w:sz w:val="22"/>
          <w:szCs w:val="22"/>
          <w:lang w:val="en-US"/>
        </w:rPr>
        <w:t>enter</w:t>
      </w:r>
      <w:r w:rsidR="0090125E">
        <w:rPr>
          <w:rStyle w:val="normaltextrun"/>
          <w:rFonts w:ascii="Calibri" w:hAnsi="Calibri" w:cs="Calibri"/>
          <w:sz w:val="22"/>
          <w:szCs w:val="22"/>
          <w:lang w:val="en-US"/>
        </w:rPr>
        <w:t>ing</w:t>
      </w:r>
      <w:r w:rsidR="004D2A88">
        <w:rPr>
          <w:rStyle w:val="normaltextrun"/>
          <w:rFonts w:ascii="Calibri" w:hAnsi="Calibri" w:cs="Calibri"/>
          <w:sz w:val="22"/>
          <w:szCs w:val="22"/>
          <w:lang w:val="en-US"/>
        </w:rPr>
        <w:t xml:space="preserve"> </w:t>
      </w:r>
      <w:r w:rsidR="00064F69">
        <w:rPr>
          <w:rStyle w:val="normaltextrun"/>
          <w:rFonts w:ascii="Calibri" w:hAnsi="Calibri" w:cs="Calibri"/>
          <w:sz w:val="22"/>
          <w:szCs w:val="22"/>
          <w:lang w:val="en-US"/>
        </w:rPr>
        <w:t xml:space="preserve">completely </w:t>
      </w:r>
      <w:r w:rsidR="004D2A88">
        <w:rPr>
          <w:rStyle w:val="normaltextrun"/>
          <w:rFonts w:ascii="Calibri" w:hAnsi="Calibri" w:cs="Calibri"/>
          <w:sz w:val="22"/>
          <w:szCs w:val="22"/>
          <w:lang w:val="en-US"/>
        </w:rPr>
        <w:t>new territory</w:t>
      </w:r>
      <w:r w:rsidR="00064F69">
        <w:rPr>
          <w:rStyle w:val="normaltextrun"/>
          <w:rFonts w:ascii="Calibri" w:hAnsi="Calibri" w:cs="Calibri"/>
          <w:sz w:val="22"/>
          <w:szCs w:val="22"/>
          <w:lang w:val="en-US"/>
        </w:rPr>
        <w:t xml:space="preserve"> and again demonstrate </w:t>
      </w:r>
      <w:r w:rsidR="002C25B0">
        <w:rPr>
          <w:rStyle w:val="normaltextrun"/>
          <w:rFonts w:ascii="Calibri" w:hAnsi="Calibri" w:cs="Calibri"/>
          <w:sz w:val="22"/>
          <w:szCs w:val="22"/>
          <w:lang w:val="en-US"/>
        </w:rPr>
        <w:t xml:space="preserve">the </w:t>
      </w:r>
      <w:r w:rsidR="00064F69">
        <w:rPr>
          <w:rStyle w:val="normaltextrun"/>
          <w:rFonts w:ascii="Calibri" w:hAnsi="Calibri" w:cs="Calibri"/>
          <w:sz w:val="22"/>
          <w:szCs w:val="22"/>
          <w:lang w:val="en-US"/>
        </w:rPr>
        <w:t xml:space="preserve">pioneering spirit </w:t>
      </w:r>
      <w:r w:rsidR="002C25B0">
        <w:rPr>
          <w:rStyle w:val="normaltextrun"/>
          <w:rFonts w:ascii="Calibri" w:hAnsi="Calibri" w:cs="Calibri"/>
          <w:sz w:val="22"/>
          <w:szCs w:val="22"/>
          <w:lang w:val="en-US"/>
        </w:rPr>
        <w:t xml:space="preserve">of 21Shares </w:t>
      </w:r>
      <w:r w:rsidR="00064F69">
        <w:rPr>
          <w:rStyle w:val="normaltextrun"/>
          <w:rFonts w:ascii="Calibri" w:hAnsi="Calibri" w:cs="Calibri"/>
          <w:sz w:val="22"/>
          <w:szCs w:val="22"/>
          <w:lang w:val="en-US"/>
        </w:rPr>
        <w:t>within the ever-evolving crypto space.</w:t>
      </w:r>
      <w:r w:rsidR="002C25B0">
        <w:rPr>
          <w:rStyle w:val="normaltextrun"/>
          <w:rFonts w:ascii="Calibri" w:hAnsi="Calibri" w:cs="Calibri"/>
          <w:sz w:val="22"/>
          <w:szCs w:val="22"/>
          <w:lang w:val="en-US"/>
        </w:rPr>
        <w:t>”</w:t>
      </w:r>
    </w:p>
    <w:p w14:paraId="010B791A" w14:textId="77777777" w:rsidR="002F149C" w:rsidRPr="004959F9" w:rsidRDefault="002F149C" w:rsidP="004959F9">
      <w:pPr>
        <w:pStyle w:val="paragraph"/>
        <w:spacing w:before="0" w:beforeAutospacing="0" w:after="0" w:afterAutospacing="0"/>
        <w:jc w:val="both"/>
        <w:textAlignment w:val="baseline"/>
        <w:rPr>
          <w:rFonts w:ascii="Segoe UI" w:hAnsi="Segoe UI" w:cs="Segoe UI"/>
          <w:sz w:val="18"/>
          <w:szCs w:val="18"/>
          <w:lang w:val="en-US"/>
        </w:rPr>
      </w:pPr>
    </w:p>
    <w:p w14:paraId="1C17FF3D" w14:textId="77777777" w:rsidR="003F4032" w:rsidRPr="004959F9" w:rsidRDefault="003F4032" w:rsidP="003F4032">
      <w:pPr>
        <w:pStyle w:val="paragraph"/>
        <w:spacing w:before="0" w:beforeAutospacing="0" w:after="0" w:afterAutospacing="0"/>
        <w:jc w:val="both"/>
        <w:textAlignment w:val="baseline"/>
        <w:rPr>
          <w:rFonts w:ascii="Calibri" w:hAnsi="Calibri" w:cs="Calibri"/>
          <w:sz w:val="22"/>
          <w:szCs w:val="22"/>
          <w:lang w:val="en-US"/>
        </w:rPr>
      </w:pPr>
      <w:r w:rsidRPr="004959F9">
        <w:rPr>
          <w:rStyle w:val="normaltextrun"/>
          <w:rFonts w:ascii="Calibri" w:hAnsi="Calibri" w:cs="Calibri"/>
          <w:b/>
          <w:bCs/>
          <w:sz w:val="22"/>
          <w:szCs w:val="22"/>
          <w:lang w:val="en-US"/>
        </w:rPr>
        <w:lastRenderedPageBreak/>
        <w:t xml:space="preserve">Commenting on the launch, Charlie Erith, CEO of </w:t>
      </w:r>
      <w:proofErr w:type="spellStart"/>
      <w:r w:rsidRPr="004959F9">
        <w:rPr>
          <w:rStyle w:val="normaltextrun"/>
          <w:rFonts w:ascii="Calibri" w:hAnsi="Calibri" w:cs="Calibri"/>
          <w:b/>
          <w:bCs/>
          <w:sz w:val="22"/>
          <w:szCs w:val="22"/>
          <w:lang w:val="en-US"/>
        </w:rPr>
        <w:t>ByteTree</w:t>
      </w:r>
      <w:proofErr w:type="spellEnd"/>
      <w:r w:rsidRPr="004959F9">
        <w:rPr>
          <w:rStyle w:val="normaltextrun"/>
          <w:rFonts w:ascii="Calibri" w:hAnsi="Calibri" w:cs="Calibri"/>
          <w:b/>
          <w:bCs/>
          <w:sz w:val="22"/>
          <w:szCs w:val="22"/>
          <w:lang w:val="en-US"/>
        </w:rPr>
        <w:t xml:space="preserve"> Asset Management, said: </w:t>
      </w:r>
      <w:r>
        <w:rPr>
          <w:rStyle w:val="normaltextrun"/>
          <w:rFonts w:ascii="Calibri" w:hAnsi="Calibri" w:cs="Calibri"/>
          <w:sz w:val="22"/>
          <w:szCs w:val="22"/>
          <w:lang w:val="en-US"/>
        </w:rPr>
        <w:t>“</w:t>
      </w:r>
      <w:r w:rsidRPr="004959F9">
        <w:rPr>
          <w:rStyle w:val="normaltextrun"/>
          <w:rFonts w:ascii="Calibri" w:hAnsi="Calibri" w:cs="Calibri"/>
          <w:sz w:val="22"/>
          <w:szCs w:val="22"/>
          <w:lang w:val="en-US"/>
        </w:rPr>
        <w:t>The BOLD investment strategy is a unique approach to blending a high return digital asset with a traditional store of value</w:t>
      </w:r>
      <w:r>
        <w:rPr>
          <w:rStyle w:val="normaltextrun"/>
          <w:rFonts w:ascii="Calibri" w:hAnsi="Calibri" w:cs="Calibri"/>
          <w:sz w:val="22"/>
          <w:szCs w:val="22"/>
          <w:lang w:val="en-US"/>
        </w:rPr>
        <w:t>,</w:t>
      </w:r>
      <w:r w:rsidRPr="004959F9">
        <w:rPr>
          <w:rStyle w:val="normaltextrun"/>
          <w:rFonts w:ascii="Calibri" w:hAnsi="Calibri" w:cs="Calibri"/>
          <w:sz w:val="22"/>
          <w:szCs w:val="22"/>
          <w:lang w:val="en-US"/>
        </w:rPr>
        <w:t xml:space="preserve"> with a low correlation to equities and bonds.</w:t>
      </w:r>
      <w:r>
        <w:rPr>
          <w:rStyle w:val="normaltextrun"/>
          <w:rFonts w:ascii="Calibri" w:hAnsi="Calibri" w:cs="Calibri"/>
          <w:sz w:val="22"/>
          <w:szCs w:val="22"/>
          <w:lang w:val="en-US"/>
        </w:rPr>
        <w:t xml:space="preserve"> </w:t>
      </w:r>
      <w:r w:rsidRPr="004959F9">
        <w:rPr>
          <w:rStyle w:val="normaltextrun"/>
          <w:rFonts w:ascii="Calibri" w:hAnsi="Calibri" w:cs="Calibri"/>
          <w:sz w:val="22"/>
          <w:szCs w:val="22"/>
          <w:lang w:val="en-US"/>
        </w:rPr>
        <w:t>Gold has historically delivered portfolio protection in inflationary environments, while Bitcoin is the digital equivalent of gold with growing adoption by investors as a distinct asset class and a core store of wealth.</w:t>
      </w:r>
      <w:r w:rsidRPr="008D4886">
        <w:rPr>
          <w:rStyle w:val="normaltextrun"/>
          <w:rFonts w:ascii="Calibri" w:hAnsi="Calibri" w:cs="Calibri"/>
          <w:sz w:val="22"/>
          <w:szCs w:val="22"/>
          <w:lang w:val="en-US"/>
        </w:rPr>
        <w:t xml:space="preserve"> </w:t>
      </w:r>
      <w:r w:rsidRPr="004959F9">
        <w:rPr>
          <w:rStyle w:val="normaltextrun"/>
          <w:rFonts w:ascii="Calibri" w:hAnsi="Calibri" w:cs="Calibri"/>
          <w:sz w:val="22"/>
          <w:szCs w:val="22"/>
          <w:lang w:val="en-US"/>
        </w:rPr>
        <w:t xml:space="preserve">In a time of rising </w:t>
      </w:r>
      <w:r>
        <w:rPr>
          <w:rStyle w:val="normaltextrun"/>
          <w:rFonts w:ascii="Calibri" w:hAnsi="Calibri" w:cs="Calibri"/>
          <w:sz w:val="22"/>
          <w:szCs w:val="22"/>
          <w:lang w:val="en-US"/>
        </w:rPr>
        <w:t xml:space="preserve">structural inflation and heightened geopolitical risk, </w:t>
      </w:r>
      <w:r w:rsidRPr="004959F9">
        <w:rPr>
          <w:rStyle w:val="normaltextrun"/>
          <w:rFonts w:ascii="Calibri" w:hAnsi="Calibri" w:cs="Calibri"/>
          <w:sz w:val="22"/>
          <w:szCs w:val="22"/>
          <w:lang w:val="en-US"/>
        </w:rPr>
        <w:t>we believe this can act as an important risk and return diversifier in a balanced portfolio</w:t>
      </w:r>
      <w:r>
        <w:rPr>
          <w:rStyle w:val="normaltextrun"/>
          <w:rFonts w:ascii="Calibri" w:hAnsi="Calibri" w:cs="Calibri"/>
          <w:sz w:val="22"/>
          <w:szCs w:val="22"/>
          <w:lang w:val="en-US"/>
        </w:rPr>
        <w:t>.”</w:t>
      </w:r>
    </w:p>
    <w:p w14:paraId="5FA78ABE" w14:textId="77777777" w:rsidR="003F4032" w:rsidRPr="004959F9" w:rsidRDefault="003F4032" w:rsidP="003F4032">
      <w:pPr>
        <w:pStyle w:val="paragraph"/>
        <w:spacing w:before="0" w:beforeAutospacing="0" w:after="0" w:afterAutospacing="0"/>
        <w:jc w:val="both"/>
        <w:textAlignment w:val="baseline"/>
        <w:rPr>
          <w:rFonts w:ascii="Segoe UI" w:hAnsi="Segoe UI" w:cs="Segoe UI"/>
          <w:sz w:val="18"/>
          <w:szCs w:val="18"/>
          <w:lang w:val="en-US"/>
        </w:rPr>
      </w:pPr>
      <w:r w:rsidRPr="004959F9">
        <w:rPr>
          <w:rStyle w:val="eop"/>
          <w:rFonts w:ascii="Calibri" w:hAnsi="Calibri" w:cs="Calibri"/>
          <w:sz w:val="22"/>
          <w:szCs w:val="22"/>
          <w:lang w:val="en-US"/>
        </w:rPr>
        <w:t> </w:t>
      </w:r>
    </w:p>
    <w:p w14:paraId="39829515" w14:textId="77777777" w:rsidR="003F4032" w:rsidRDefault="003F4032" w:rsidP="003F4032">
      <w:pPr>
        <w:pStyle w:val="paragraph"/>
        <w:spacing w:before="0" w:beforeAutospacing="0" w:after="0" w:afterAutospacing="0"/>
        <w:jc w:val="both"/>
        <w:textAlignment w:val="baseline"/>
        <w:rPr>
          <w:rStyle w:val="normaltextrun"/>
          <w:rFonts w:ascii="Calibri" w:hAnsi="Calibri" w:cs="Calibri"/>
          <w:sz w:val="22"/>
          <w:szCs w:val="22"/>
          <w:lang w:val="en-US"/>
        </w:rPr>
      </w:pPr>
      <w:r w:rsidRPr="004959F9">
        <w:rPr>
          <w:rStyle w:val="normaltextrun"/>
          <w:rFonts w:ascii="Calibri" w:hAnsi="Calibri" w:cs="Calibri"/>
          <w:b/>
          <w:bCs/>
          <w:sz w:val="22"/>
          <w:szCs w:val="22"/>
          <w:lang w:val="en-US"/>
        </w:rPr>
        <w:t xml:space="preserve">Commenting on the investment approach, Charlie Morris, CIO of </w:t>
      </w:r>
      <w:proofErr w:type="spellStart"/>
      <w:r w:rsidRPr="004959F9">
        <w:rPr>
          <w:rStyle w:val="normaltextrun"/>
          <w:rFonts w:ascii="Calibri" w:hAnsi="Calibri" w:cs="Calibri"/>
          <w:b/>
          <w:bCs/>
          <w:sz w:val="22"/>
          <w:szCs w:val="22"/>
          <w:lang w:val="en-US"/>
        </w:rPr>
        <w:t>ByteTree</w:t>
      </w:r>
      <w:proofErr w:type="spellEnd"/>
      <w:r w:rsidRPr="004959F9">
        <w:rPr>
          <w:rStyle w:val="normaltextrun"/>
          <w:rFonts w:ascii="Calibri" w:hAnsi="Calibri" w:cs="Calibri"/>
          <w:b/>
          <w:bCs/>
          <w:sz w:val="22"/>
          <w:szCs w:val="22"/>
          <w:lang w:val="en-US"/>
        </w:rPr>
        <w:t xml:space="preserve"> Asset Management, said: </w:t>
      </w:r>
      <w:r>
        <w:rPr>
          <w:rStyle w:val="normaltextrun"/>
          <w:rFonts w:ascii="Calibri" w:hAnsi="Calibri" w:cs="Calibri"/>
          <w:b/>
          <w:bCs/>
          <w:sz w:val="22"/>
          <w:szCs w:val="22"/>
          <w:lang w:val="en-US"/>
        </w:rPr>
        <w:t>“</w:t>
      </w:r>
      <w:r w:rsidRPr="004959F9">
        <w:rPr>
          <w:rStyle w:val="normaltextrun"/>
          <w:rFonts w:ascii="Calibri" w:hAnsi="Calibri" w:cs="Calibri"/>
          <w:sz w:val="22"/>
          <w:szCs w:val="22"/>
          <w:lang w:val="en-US"/>
        </w:rPr>
        <w:t>Our core investment objective is to improve portfolio returns and reduce an investor’s portfolio risk. By holding both assets in an ETP and rebalancing Bitcoin</w:t>
      </w:r>
      <w:r w:rsidRPr="004959F9">
        <w:rPr>
          <w:rStyle w:val="normaltextrun"/>
          <w:rFonts w:ascii="Calibri" w:hAnsi="Calibri" w:cs="Calibri"/>
          <w:b/>
          <w:bCs/>
          <w:sz w:val="22"/>
          <w:szCs w:val="22"/>
          <w:lang w:val="en-US"/>
        </w:rPr>
        <w:t xml:space="preserve"> </w:t>
      </w:r>
      <w:r w:rsidRPr="004959F9">
        <w:rPr>
          <w:rStyle w:val="normaltextrun"/>
          <w:rFonts w:ascii="Calibri" w:hAnsi="Calibri" w:cs="Calibri"/>
          <w:sz w:val="22"/>
          <w:szCs w:val="22"/>
          <w:lang w:val="en-US"/>
        </w:rPr>
        <w:t>and Gold exposure monthly, we are targeting superior risk-adjusted returns compared to both assets held separately. Inverse volatility aims to balance an appropriate allocation when blending high and low volatility assets particularly in fluctuating markets.</w:t>
      </w:r>
      <w:r>
        <w:rPr>
          <w:rStyle w:val="normaltextrun"/>
          <w:rFonts w:ascii="Calibri" w:hAnsi="Calibri" w:cs="Calibri"/>
          <w:sz w:val="22"/>
          <w:szCs w:val="22"/>
          <w:lang w:val="en-US"/>
        </w:rPr>
        <w:t>”</w:t>
      </w:r>
    </w:p>
    <w:p w14:paraId="4E0DC8AB" w14:textId="77777777" w:rsidR="00554AC3" w:rsidRDefault="00554AC3" w:rsidP="005032A2">
      <w:pPr>
        <w:pStyle w:val="paragraph"/>
        <w:spacing w:before="0" w:beforeAutospacing="0" w:after="0" w:afterAutospacing="0"/>
        <w:jc w:val="both"/>
        <w:textAlignment w:val="baseline"/>
        <w:rPr>
          <w:rStyle w:val="normaltextrun"/>
          <w:rFonts w:ascii="Calibri" w:hAnsi="Calibri" w:cs="Calibri"/>
          <w:sz w:val="22"/>
          <w:szCs w:val="22"/>
          <w:lang w:val="en-US"/>
        </w:rPr>
      </w:pPr>
    </w:p>
    <w:p w14:paraId="01D820B1" w14:textId="77777777" w:rsidR="00554AC3" w:rsidRDefault="00554AC3" w:rsidP="00554AC3">
      <w:pPr>
        <w:pBdr>
          <w:top w:val="nil"/>
          <w:left w:val="nil"/>
          <w:bottom w:val="nil"/>
          <w:right w:val="nil"/>
          <w:between w:val="nil"/>
        </w:pBdr>
        <w:spacing w:line="240" w:lineRule="auto"/>
        <w:jc w:val="center"/>
        <w:rPr>
          <w:color w:val="000000"/>
        </w:rPr>
      </w:pPr>
      <w:r>
        <w:rPr>
          <w:color w:val="000000"/>
        </w:rPr>
        <w:t># # #</w:t>
      </w:r>
    </w:p>
    <w:p w14:paraId="5B6ACE3C" w14:textId="77777777" w:rsidR="00554AC3" w:rsidRPr="00A74F8B" w:rsidRDefault="00554AC3" w:rsidP="00554AC3">
      <w:pPr>
        <w:pBdr>
          <w:top w:val="nil"/>
          <w:left w:val="nil"/>
          <w:bottom w:val="nil"/>
          <w:right w:val="nil"/>
          <w:between w:val="nil"/>
        </w:pBdr>
        <w:spacing w:line="240" w:lineRule="auto"/>
        <w:jc w:val="center"/>
        <w:rPr>
          <w:color w:val="000000"/>
        </w:rPr>
      </w:pPr>
    </w:p>
    <w:p w14:paraId="2B76CCE3" w14:textId="77777777" w:rsidR="00554AC3" w:rsidRPr="002A79C8" w:rsidRDefault="00554AC3" w:rsidP="00554AC3">
      <w:pPr>
        <w:pBdr>
          <w:top w:val="nil"/>
          <w:left w:val="nil"/>
          <w:bottom w:val="nil"/>
          <w:right w:val="nil"/>
          <w:between w:val="nil"/>
        </w:pBdr>
        <w:spacing w:after="0" w:line="240" w:lineRule="auto"/>
        <w:jc w:val="both"/>
        <w:rPr>
          <w:rFonts w:asciiTheme="minorHAnsi" w:hAnsiTheme="minorHAnsi" w:cstheme="minorHAnsi"/>
          <w:color w:val="000000"/>
        </w:rPr>
      </w:pPr>
      <w:r w:rsidRPr="002A79C8">
        <w:rPr>
          <w:rFonts w:asciiTheme="minorHAnsi" w:hAnsiTheme="minorHAnsi" w:cstheme="minorHAnsi"/>
          <w:b/>
          <w:color w:val="000000"/>
        </w:rPr>
        <w:t>Press Contact:</w:t>
      </w:r>
    </w:p>
    <w:p w14:paraId="079ED8F7" w14:textId="77777777" w:rsidR="00554AC3" w:rsidRPr="00B04FFE" w:rsidRDefault="00554AC3" w:rsidP="00554AC3">
      <w:pPr>
        <w:pBdr>
          <w:top w:val="nil"/>
          <w:left w:val="nil"/>
          <w:bottom w:val="nil"/>
          <w:right w:val="nil"/>
          <w:between w:val="nil"/>
        </w:pBdr>
        <w:spacing w:after="0" w:line="240" w:lineRule="auto"/>
        <w:jc w:val="both"/>
        <w:rPr>
          <w:rFonts w:asciiTheme="minorHAnsi" w:hAnsiTheme="minorHAnsi" w:cstheme="minorHAnsi"/>
        </w:rPr>
      </w:pPr>
      <w:r w:rsidRPr="00B04FFE">
        <w:rPr>
          <w:rFonts w:asciiTheme="minorHAnsi" w:hAnsiTheme="minorHAnsi" w:cstheme="minorHAnsi"/>
          <w:color w:val="000000"/>
        </w:rPr>
        <w:t>Arielle Sobel, Head of Communications, 21Shares</w:t>
      </w:r>
    </w:p>
    <w:p w14:paraId="73F62D8E" w14:textId="77777777" w:rsidR="00554AC3" w:rsidRPr="00B04FFE" w:rsidRDefault="00B04FFE" w:rsidP="00554AC3">
      <w:pPr>
        <w:pStyle w:val="paragraph"/>
        <w:spacing w:before="0" w:beforeAutospacing="0" w:after="0" w:afterAutospacing="0"/>
        <w:jc w:val="both"/>
        <w:textAlignment w:val="baseline"/>
        <w:rPr>
          <w:rStyle w:val="Hyperlink"/>
          <w:rFonts w:asciiTheme="minorHAnsi" w:hAnsiTheme="minorHAnsi" w:cstheme="minorHAnsi"/>
          <w:color w:val="auto"/>
          <w:sz w:val="22"/>
          <w:szCs w:val="22"/>
          <w:lang w:val="en-US"/>
        </w:rPr>
      </w:pPr>
      <w:hyperlink r:id="rId12" w:history="1">
        <w:r w:rsidR="00554AC3" w:rsidRPr="00B04FFE">
          <w:rPr>
            <w:rStyle w:val="Hyperlink"/>
            <w:rFonts w:asciiTheme="minorHAnsi" w:hAnsiTheme="minorHAnsi" w:cstheme="minorHAnsi"/>
            <w:color w:val="auto"/>
            <w:sz w:val="22"/>
            <w:szCs w:val="22"/>
            <w:lang w:val="en-US"/>
          </w:rPr>
          <w:t>press@21shares.com</w:t>
        </w:r>
      </w:hyperlink>
    </w:p>
    <w:p w14:paraId="463E98C5" w14:textId="77777777" w:rsidR="00554AC3" w:rsidRPr="00B20864" w:rsidRDefault="00554AC3" w:rsidP="00554AC3">
      <w:pPr>
        <w:pStyle w:val="paragraph"/>
        <w:spacing w:before="0" w:beforeAutospacing="0" w:after="0" w:afterAutospacing="0"/>
        <w:jc w:val="both"/>
        <w:textAlignment w:val="baseline"/>
        <w:rPr>
          <w:rStyle w:val="Hyperlink"/>
          <w:rFonts w:asciiTheme="minorHAnsi" w:hAnsiTheme="minorHAnsi" w:cstheme="minorHAnsi"/>
          <w:color w:val="auto"/>
          <w:lang w:val="en-US"/>
        </w:rPr>
      </w:pPr>
    </w:p>
    <w:p w14:paraId="6A77A4E4" w14:textId="77777777" w:rsidR="00554AC3" w:rsidRPr="004959F9" w:rsidRDefault="00554AC3" w:rsidP="00554AC3">
      <w:pPr>
        <w:pStyle w:val="paragraph"/>
        <w:spacing w:before="0" w:beforeAutospacing="0" w:after="0" w:afterAutospacing="0"/>
        <w:jc w:val="both"/>
        <w:textAlignment w:val="baseline"/>
        <w:rPr>
          <w:rFonts w:ascii="Segoe UI" w:hAnsi="Segoe UI" w:cs="Segoe UI"/>
          <w:sz w:val="18"/>
          <w:szCs w:val="18"/>
          <w:lang w:val="en-US"/>
        </w:rPr>
      </w:pPr>
      <w:r w:rsidRPr="004959F9">
        <w:rPr>
          <w:rStyle w:val="normaltextrun"/>
          <w:rFonts w:ascii="Calibri" w:hAnsi="Calibri" w:cs="Calibri"/>
          <w:b/>
          <w:bCs/>
          <w:sz w:val="22"/>
          <w:szCs w:val="22"/>
          <w:lang w:val="en-US"/>
        </w:rPr>
        <w:t>About 21Shares</w:t>
      </w:r>
      <w:r>
        <w:rPr>
          <w:rStyle w:val="eop"/>
          <w:rFonts w:ascii="Calibri" w:hAnsi="Calibri" w:cs="Calibri"/>
          <w:sz w:val="22"/>
          <w:szCs w:val="22"/>
          <w:lang w:val="en-US"/>
        </w:rPr>
        <w:t>:</w:t>
      </w:r>
      <w:r w:rsidRPr="004959F9">
        <w:rPr>
          <w:rStyle w:val="eop"/>
          <w:rFonts w:ascii="Calibri" w:hAnsi="Calibri" w:cs="Calibri"/>
          <w:sz w:val="22"/>
          <w:szCs w:val="22"/>
          <w:lang w:val="en-US"/>
        </w:rPr>
        <w:t> </w:t>
      </w:r>
    </w:p>
    <w:p w14:paraId="0AFDAB2E" w14:textId="77777777" w:rsidR="00554AC3" w:rsidRDefault="00554AC3" w:rsidP="00554AC3">
      <w:pPr>
        <w:pBdr>
          <w:top w:val="nil"/>
          <w:left w:val="nil"/>
          <w:bottom w:val="nil"/>
          <w:right w:val="nil"/>
          <w:between w:val="nil"/>
        </w:pBdr>
        <w:spacing w:after="0" w:line="240" w:lineRule="auto"/>
        <w:jc w:val="both"/>
      </w:pPr>
      <w:r w:rsidRPr="005F41B4">
        <w:t>21Shares is the first issuer of crypto Exchange Traded Products (ETPs) with the largest product suite</w:t>
      </w:r>
      <w:r>
        <w:t xml:space="preserve"> </w:t>
      </w:r>
      <w:r w:rsidRPr="005F41B4">
        <w:t>and has one of the most advanced and sophisticated research teams</w:t>
      </w:r>
      <w:r>
        <w:t xml:space="preserve">. </w:t>
      </w:r>
      <w:r w:rsidRPr="00F31140">
        <w:t>In 2018</w:t>
      </w:r>
      <w:r>
        <w:t>,</w:t>
      </w:r>
      <w:r w:rsidRPr="00F31140">
        <w:t xml:space="preserve"> it pioneered the world’s first cryptocurrency index listing on the SIX Swiss Exchange</w:t>
      </w:r>
      <w:r>
        <w:t xml:space="preserve">. </w:t>
      </w:r>
      <w:r w:rsidRPr="00F31140">
        <w:t xml:space="preserve">21Shares aims to provide all investors with an easy, secure, and regulated way to buy, sell, and short cryptocurrency through existing bank and brokerage accounts. The 21Shares issuance platform, Onyx, is used by both 21Shares and third parties to issue and operate cryptocurrency ETPs around the world. 21Shares </w:t>
      </w:r>
      <w:r w:rsidRPr="005F41B4">
        <w:t>is a Swiss company registered in Zug, Switzerland with offices in Zurich and New York City.</w:t>
      </w:r>
      <w:r>
        <w:t xml:space="preserve"> </w:t>
      </w:r>
      <w:r w:rsidRPr="00F31140">
        <w:t xml:space="preserve">For more information, please visit </w:t>
      </w:r>
      <w:hyperlink r:id="rId13">
        <w:r w:rsidRPr="00F31140">
          <w:rPr>
            <w:u w:val="single"/>
          </w:rPr>
          <w:t>www.21shares.com</w:t>
        </w:r>
      </w:hyperlink>
      <w:r w:rsidRPr="00F31140">
        <w:t>.</w:t>
      </w:r>
    </w:p>
    <w:p w14:paraId="409CA9DA" w14:textId="77777777" w:rsidR="00554AC3" w:rsidRPr="004959F9" w:rsidRDefault="00554AC3" w:rsidP="00554AC3">
      <w:pPr>
        <w:pStyle w:val="paragraph"/>
        <w:spacing w:before="0" w:beforeAutospacing="0" w:after="0" w:afterAutospacing="0"/>
        <w:jc w:val="both"/>
        <w:textAlignment w:val="baseline"/>
        <w:rPr>
          <w:rFonts w:ascii="Segoe UI" w:hAnsi="Segoe UI" w:cs="Segoe UI"/>
          <w:sz w:val="18"/>
          <w:szCs w:val="18"/>
          <w:lang w:val="en-US"/>
        </w:rPr>
      </w:pPr>
    </w:p>
    <w:p w14:paraId="552CD521" w14:textId="77777777" w:rsidR="00554AC3" w:rsidRPr="002A79C8" w:rsidRDefault="00554AC3" w:rsidP="00554AC3">
      <w:pPr>
        <w:pStyle w:val="paragraph"/>
        <w:spacing w:before="0" w:beforeAutospacing="0" w:after="0" w:afterAutospacing="0"/>
        <w:jc w:val="both"/>
        <w:textAlignment w:val="baseline"/>
        <w:rPr>
          <w:rFonts w:asciiTheme="minorHAnsi" w:hAnsiTheme="minorHAnsi" w:cstheme="minorHAnsi"/>
          <w:sz w:val="18"/>
          <w:szCs w:val="18"/>
          <w:lang w:val="en-US"/>
        </w:rPr>
      </w:pPr>
      <w:r w:rsidRPr="002A79C8">
        <w:rPr>
          <w:rStyle w:val="normaltextrun"/>
          <w:rFonts w:asciiTheme="minorHAnsi" w:hAnsiTheme="minorHAnsi" w:cstheme="minorHAnsi"/>
          <w:b/>
          <w:bCs/>
          <w:sz w:val="22"/>
          <w:szCs w:val="22"/>
          <w:lang w:val="en-US"/>
        </w:rPr>
        <w:t xml:space="preserve">About </w:t>
      </w:r>
      <w:proofErr w:type="spellStart"/>
      <w:r w:rsidRPr="002A79C8">
        <w:rPr>
          <w:rStyle w:val="normaltextrun"/>
          <w:rFonts w:asciiTheme="minorHAnsi" w:hAnsiTheme="minorHAnsi" w:cstheme="minorHAnsi"/>
          <w:b/>
          <w:bCs/>
          <w:sz w:val="22"/>
          <w:szCs w:val="22"/>
          <w:lang w:val="en-US"/>
        </w:rPr>
        <w:t>ByteTree</w:t>
      </w:r>
      <w:proofErr w:type="spellEnd"/>
      <w:r>
        <w:rPr>
          <w:rStyle w:val="normaltextrun"/>
          <w:rFonts w:asciiTheme="minorHAnsi" w:hAnsiTheme="minorHAnsi" w:cstheme="minorHAnsi"/>
          <w:b/>
          <w:bCs/>
          <w:sz w:val="22"/>
          <w:szCs w:val="22"/>
          <w:lang w:val="en-US"/>
        </w:rPr>
        <w:t xml:space="preserve"> Asset Management</w:t>
      </w:r>
      <w:r w:rsidRPr="002A79C8">
        <w:rPr>
          <w:rStyle w:val="eop"/>
          <w:rFonts w:asciiTheme="minorHAnsi" w:hAnsiTheme="minorHAnsi" w:cstheme="minorHAnsi"/>
          <w:sz w:val="22"/>
          <w:szCs w:val="22"/>
          <w:lang w:val="en-US"/>
        </w:rPr>
        <w:t>:</w:t>
      </w:r>
    </w:p>
    <w:p w14:paraId="7B9DCDE6" w14:textId="6336540D" w:rsidR="00856F92" w:rsidRDefault="00B251CD" w:rsidP="00B251CD">
      <w:pPr>
        <w:pStyle w:val="Listenabsatz"/>
        <w:ind w:left="0"/>
        <w:jc w:val="both"/>
        <w:rPr>
          <w:rStyle w:val="normaltextrun"/>
        </w:rPr>
      </w:pPr>
      <w:proofErr w:type="spellStart"/>
      <w:r>
        <w:rPr>
          <w:rStyle w:val="normaltextrun"/>
          <w:rFonts w:eastAsia="Times New Roman"/>
        </w:rPr>
        <w:t>ByteTree</w:t>
      </w:r>
      <w:proofErr w:type="spellEnd"/>
      <w:r>
        <w:rPr>
          <w:rStyle w:val="normaltextrun"/>
          <w:rFonts w:eastAsia="Times New Roman"/>
        </w:rPr>
        <w:t xml:space="preserve"> is a specialist in digital asset data provision and analysis. Today, it is a provider of institutional-grade crypto-asset data, used by investors globally, and with BOLD it is now adviser to two institutional grade products, BOLD and the Bitcoin and General Fund. The company was formed in 2014 to source date from the Bitcoin Network, and to provide fundamental data for professional and institutional investors. It developed one of the first multi-coin price indices in the world to </w:t>
      </w:r>
      <w:proofErr w:type="spellStart"/>
      <w:r>
        <w:rPr>
          <w:rStyle w:val="normaltextrun"/>
          <w:rFonts w:eastAsia="Times New Roman"/>
        </w:rPr>
        <w:t>analyse</w:t>
      </w:r>
      <w:proofErr w:type="spellEnd"/>
      <w:r>
        <w:rPr>
          <w:rStyle w:val="normaltextrun"/>
          <w:rFonts w:eastAsia="Times New Roman"/>
        </w:rPr>
        <w:t xml:space="preserve"> and monitor the growth of cryptocurrencies.  </w:t>
      </w:r>
      <w:proofErr w:type="spellStart"/>
      <w:r>
        <w:rPr>
          <w:rStyle w:val="normaltextrun"/>
        </w:rPr>
        <w:t>ByteTree</w:t>
      </w:r>
      <w:proofErr w:type="spellEnd"/>
      <w:r>
        <w:rPr>
          <w:rStyle w:val="normaltextrun"/>
        </w:rPr>
        <w:t xml:space="preserve"> Asset Management is </w:t>
      </w:r>
      <w:proofErr w:type="spellStart"/>
      <w:r>
        <w:rPr>
          <w:rStyle w:val="normaltextrun"/>
        </w:rPr>
        <w:t>authorised</w:t>
      </w:r>
      <w:proofErr w:type="spellEnd"/>
      <w:r>
        <w:rPr>
          <w:rStyle w:val="normaltextrun"/>
        </w:rPr>
        <w:t xml:space="preserve"> and regulated by the Financial Conduct Authority FCA. The firm was created in 2020 to provide investors with institutional-grade products to invest in crypto assets. </w:t>
      </w:r>
      <w:proofErr w:type="spellStart"/>
      <w:r>
        <w:rPr>
          <w:rStyle w:val="normaltextrun"/>
        </w:rPr>
        <w:t>ByteTree</w:t>
      </w:r>
      <w:proofErr w:type="spellEnd"/>
      <w:r>
        <w:rPr>
          <w:rStyle w:val="normaltextrun"/>
        </w:rPr>
        <w:t xml:space="preserve"> AM provides investment solutions that combine robust operational infrastructure with rigorous analysis of the underlying ecosystem.</w:t>
      </w:r>
    </w:p>
    <w:p w14:paraId="574668BB" w14:textId="77777777" w:rsidR="00EE1CD2" w:rsidRDefault="00EE1CD2" w:rsidP="00B251CD">
      <w:pPr>
        <w:pStyle w:val="Listenabsatz"/>
        <w:ind w:left="0"/>
        <w:jc w:val="both"/>
        <w:rPr>
          <w:rStyle w:val="normaltextrun"/>
        </w:rPr>
      </w:pPr>
    </w:p>
    <w:p w14:paraId="161E1E04" w14:textId="0A866AC0" w:rsidR="00EE1CD2" w:rsidRDefault="00EE1CD2" w:rsidP="00EE1CD2">
      <w:pPr>
        <w:jc w:val="center"/>
        <w:rPr>
          <w:color w:val="000000"/>
        </w:rPr>
      </w:pPr>
      <w:r>
        <w:rPr>
          <w:color w:val="000000"/>
        </w:rPr>
        <w:t># # #</w:t>
      </w:r>
    </w:p>
    <w:p w14:paraId="37E4A65D" w14:textId="77777777" w:rsidR="00EE1CD2" w:rsidRDefault="00EE1CD2" w:rsidP="00EE1CD2">
      <w:pPr>
        <w:pBdr>
          <w:top w:val="nil"/>
          <w:left w:val="nil"/>
          <w:bottom w:val="nil"/>
          <w:right w:val="nil"/>
          <w:between w:val="nil"/>
        </w:pBdr>
        <w:spacing w:after="0" w:line="240" w:lineRule="auto"/>
        <w:jc w:val="both"/>
        <w:rPr>
          <w:b/>
          <w:color w:val="595959" w:themeColor="text1" w:themeTint="A6"/>
          <w:sz w:val="20"/>
          <w:szCs w:val="20"/>
        </w:rPr>
      </w:pPr>
      <w:r w:rsidRPr="00F31140">
        <w:rPr>
          <w:u w:val="single"/>
        </w:rPr>
        <w:br/>
      </w:r>
    </w:p>
    <w:p w14:paraId="761E0593" w14:textId="77777777" w:rsidR="00EE1CD2" w:rsidRDefault="00EE1CD2">
      <w:pPr>
        <w:rPr>
          <w:b/>
          <w:color w:val="595959" w:themeColor="text1" w:themeTint="A6"/>
          <w:sz w:val="20"/>
          <w:szCs w:val="20"/>
        </w:rPr>
      </w:pPr>
      <w:r>
        <w:rPr>
          <w:b/>
          <w:color w:val="595959" w:themeColor="text1" w:themeTint="A6"/>
          <w:sz w:val="20"/>
          <w:szCs w:val="20"/>
        </w:rPr>
        <w:br w:type="page"/>
      </w:r>
    </w:p>
    <w:p w14:paraId="1C724A02" w14:textId="59CF05CA" w:rsidR="00EE1CD2" w:rsidRPr="00F31140" w:rsidRDefault="00EE1CD2" w:rsidP="00EE1CD2">
      <w:pPr>
        <w:pBdr>
          <w:top w:val="nil"/>
          <w:left w:val="nil"/>
          <w:bottom w:val="nil"/>
          <w:right w:val="nil"/>
          <w:between w:val="nil"/>
        </w:pBdr>
        <w:spacing w:after="0" w:line="240" w:lineRule="auto"/>
        <w:jc w:val="both"/>
        <w:rPr>
          <w:color w:val="595959" w:themeColor="text1" w:themeTint="A6"/>
          <w:sz w:val="20"/>
          <w:szCs w:val="20"/>
        </w:rPr>
      </w:pPr>
      <w:r w:rsidRPr="00F31140">
        <w:rPr>
          <w:b/>
          <w:color w:val="595959" w:themeColor="text1" w:themeTint="A6"/>
          <w:sz w:val="20"/>
          <w:szCs w:val="20"/>
        </w:rPr>
        <w:lastRenderedPageBreak/>
        <w:t>Disclaimer:</w:t>
      </w:r>
      <w:r w:rsidRPr="00F31140">
        <w:rPr>
          <w:color w:val="595959" w:themeColor="text1" w:themeTint="A6"/>
          <w:sz w:val="20"/>
          <w:szCs w:val="20"/>
          <w:u w:val="single"/>
        </w:rPr>
        <w:br/>
      </w:r>
      <w:r w:rsidRPr="00F31140">
        <w:rPr>
          <w:color w:val="595959" w:themeColor="text1" w:themeTint="A6"/>
          <w:sz w:val="20"/>
          <w:szCs w:val="20"/>
        </w:rPr>
        <w:t>This document is not an offer to sell or a solicitation of an offer to buy or subscribe for securities of 21Shares AG. Neither this document nor anything contained herein shall form the basis of, or be relied upon in connection with, any offer or commitment whatsoever in any jurisdiction. This document constitutes advertisement within the meaning of the Swiss Financial Services Act and not a prospectus. This document and the information contained herein are not for distribution in or into (directly or indirectly) the United States, Canada, Australia or Japan or any other jurisdiction in which the distribution or release would be unlawful. This document does not constitute an offer of securities to sell or a solicitation of an offer to purchase in or into the United States, Canada, Australia, or Japan. The securities of 21Shares AG to which these materials relate have not been and will not be registered under the United States Securities Act of 1933, as amended (the "Securities Act"), and may not be offered or sold in the United States absent registration or an applicable exemption from, or in a transaction not subject to, the registration requirements of the Securities Act. There will not be a public offering of securities in the United States. This document is only being distributed to and is only directed at: (i) to investment professionals falling within Article 19(5) of the Financial Services and Markets Act 2000 (Financial Promotion) Order 2005 (the "Order"); or (ii) high net worth entities, and other persons to whom it may lawfully be communicated, falling within Article 49(2)(a) to (d) of the Order (all such persons together being referred to as "relevant persons"); or (i</w:t>
      </w:r>
      <w:r>
        <w:rPr>
          <w:color w:val="595959" w:themeColor="text1" w:themeTint="A6"/>
          <w:sz w:val="20"/>
          <w:szCs w:val="20"/>
        </w:rPr>
        <w:t>ii</w:t>
      </w:r>
      <w:r w:rsidRPr="00F31140">
        <w:rPr>
          <w:color w:val="595959" w:themeColor="text1" w:themeTint="A6"/>
          <w:sz w:val="20"/>
          <w:szCs w:val="20"/>
        </w:rPr>
        <w:t>) persons who fall within Article 43(2) of the Order, including existing members and creditors of the Company or (</w:t>
      </w:r>
      <w:r>
        <w:rPr>
          <w:color w:val="595959" w:themeColor="text1" w:themeTint="A6"/>
          <w:sz w:val="20"/>
          <w:szCs w:val="20"/>
        </w:rPr>
        <w:t>i</w:t>
      </w:r>
      <w:r w:rsidRPr="00F31140">
        <w:rPr>
          <w:color w:val="595959" w:themeColor="text1" w:themeTint="A6"/>
          <w:sz w:val="20"/>
          <w:szCs w:val="20"/>
        </w:rPr>
        <w:t>v) any other persons to whom this document can be lawfully distributed in circumstances where section 21(1) of the FSMA does not apply. The Securities are only available to, and any invitation, offer or agreement to subscribe, purchase or otherwise acquire such securities will be engaged in only with, relevant persons. Any person who is not a relevant person should not act or rely on this document or any of its contents. In any EEA Member State (other than the France, Germany, Italy, Austria, Belgium, Croatia, Czech Republic, Denmark, Finland, Hungary, Ireland, Luxembourg, Malta, Netherlands, Norway, Poland, Romania, Slovakia, Spain, Lichtenstein) that has implemented the Prospectus Regulation (EU) 2017/1129, together with any applicable implementing measures in any Member State, the "Prospectus Regulation") this communication is only addressed to and is only directed at qualified investors in that Member State within the meaning of the Prospectus Regulation. Exclusively for potential investors in France, Germany, Italy, Austria, Belgium, Croatia, Czech Republic, Denmark, Finland, Hungary, Ireland, Luxembourg, Malta, Netherlands, Norway, Poland, Romania, Slovakia, Spain, Liechtenstein the 2021 Base Prospectus (EU) is made available on the</w:t>
      </w:r>
      <w:r>
        <w:rPr>
          <w:color w:val="595959" w:themeColor="text1" w:themeTint="A6"/>
          <w:sz w:val="20"/>
          <w:szCs w:val="20"/>
        </w:rPr>
        <w:t xml:space="preserve"> </w:t>
      </w:r>
      <w:r w:rsidRPr="00F31140">
        <w:rPr>
          <w:color w:val="595959" w:themeColor="text1" w:themeTint="A6"/>
          <w:sz w:val="20"/>
          <w:szCs w:val="20"/>
        </w:rPr>
        <w:t>Issuer</w:t>
      </w:r>
      <w:r>
        <w:rPr>
          <w:color w:val="595959" w:themeColor="text1" w:themeTint="A6"/>
          <w:sz w:val="20"/>
          <w:szCs w:val="20"/>
        </w:rPr>
        <w:t>'</w:t>
      </w:r>
      <w:r w:rsidRPr="00F31140">
        <w:rPr>
          <w:color w:val="595959" w:themeColor="text1" w:themeTint="A6"/>
          <w:sz w:val="20"/>
          <w:szCs w:val="20"/>
        </w:rPr>
        <w:t>s website under</w:t>
      </w:r>
      <w:hyperlink r:id="rId14">
        <w:r w:rsidRPr="00F31140">
          <w:rPr>
            <w:color w:val="595959" w:themeColor="text1" w:themeTint="A6"/>
            <w:sz w:val="20"/>
            <w:szCs w:val="20"/>
          </w:rPr>
          <w:t xml:space="preserve"> www.21Shares.com</w:t>
        </w:r>
      </w:hyperlink>
      <w:r w:rsidRPr="00F31140">
        <w:rPr>
          <w:color w:val="595959" w:themeColor="text1" w:themeTint="A6"/>
          <w:sz w:val="20"/>
          <w:szCs w:val="20"/>
        </w:rPr>
        <w:t xml:space="preserve">. The approval of the 2021 Base Prospectus (EU) should not be understood as an endorsement by the SFSA of the securities offered or admitted to trading on a regulated market. Eligible potential investors should read the 2021 Base Prospectus (EU) and the relevant Final Terms before making an investment decision </w:t>
      </w:r>
      <w:proofErr w:type="gramStart"/>
      <w:r w:rsidRPr="00F31140">
        <w:rPr>
          <w:color w:val="595959" w:themeColor="text1" w:themeTint="A6"/>
          <w:sz w:val="20"/>
          <w:szCs w:val="20"/>
        </w:rPr>
        <w:t>in order to</w:t>
      </w:r>
      <w:proofErr w:type="gramEnd"/>
      <w:r w:rsidRPr="00F31140">
        <w:rPr>
          <w:color w:val="595959" w:themeColor="text1" w:themeTint="A6"/>
          <w:sz w:val="20"/>
          <w:szCs w:val="20"/>
        </w:rPr>
        <w:t xml:space="preserve"> understand the potential risks associated with the decision to invest in the securities.</w:t>
      </w:r>
    </w:p>
    <w:p w14:paraId="678DFE4C" w14:textId="77777777" w:rsidR="00EE1CD2" w:rsidRDefault="00EE1CD2" w:rsidP="00EE1CD2">
      <w:pPr>
        <w:pBdr>
          <w:top w:val="nil"/>
          <w:left w:val="nil"/>
          <w:bottom w:val="nil"/>
          <w:right w:val="nil"/>
          <w:between w:val="nil"/>
        </w:pBdr>
        <w:spacing w:after="0" w:line="240" w:lineRule="auto"/>
        <w:rPr>
          <w:color w:val="000000"/>
        </w:rPr>
      </w:pPr>
    </w:p>
    <w:p w14:paraId="4D61A611" w14:textId="77777777" w:rsidR="00EE1CD2" w:rsidRDefault="00EE1CD2" w:rsidP="00EE1CD2">
      <w:pPr>
        <w:pBdr>
          <w:top w:val="nil"/>
          <w:left w:val="nil"/>
          <w:bottom w:val="nil"/>
          <w:right w:val="nil"/>
          <w:between w:val="nil"/>
        </w:pBdr>
        <w:spacing w:line="240" w:lineRule="auto"/>
        <w:jc w:val="center"/>
        <w:rPr>
          <w:color w:val="000000"/>
        </w:rPr>
      </w:pPr>
      <w:r>
        <w:rPr>
          <w:color w:val="000000"/>
        </w:rPr>
        <w:t># # #</w:t>
      </w:r>
    </w:p>
    <w:p w14:paraId="255DAF63" w14:textId="77777777" w:rsidR="00EE1CD2" w:rsidRPr="00B251CD" w:rsidRDefault="00EE1CD2" w:rsidP="00B251CD">
      <w:pPr>
        <w:pStyle w:val="Listenabsatz"/>
        <w:ind w:left="0"/>
        <w:jc w:val="both"/>
      </w:pPr>
    </w:p>
    <w:sectPr w:rsidR="00EE1CD2" w:rsidRPr="00B251CD" w:rsidSect="00792778">
      <w:headerReference w:type="default" r:id="rId15"/>
      <w:footerReference w:type="default" r:id="rId16"/>
      <w:pgSz w:w="11906" w:h="16838"/>
      <w:pgMar w:top="1702"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4027" w14:textId="77777777" w:rsidR="000E6EAB" w:rsidRDefault="000E6EAB" w:rsidP="00374391">
      <w:pPr>
        <w:spacing w:after="0" w:line="240" w:lineRule="auto"/>
      </w:pPr>
      <w:r>
        <w:separator/>
      </w:r>
    </w:p>
  </w:endnote>
  <w:endnote w:type="continuationSeparator" w:id="0">
    <w:p w14:paraId="57FDFC0A" w14:textId="77777777" w:rsidR="000E6EAB" w:rsidRDefault="000E6EAB" w:rsidP="00374391">
      <w:pPr>
        <w:spacing w:after="0" w:line="240" w:lineRule="auto"/>
      </w:pPr>
      <w:r>
        <w:continuationSeparator/>
      </w:r>
    </w:p>
  </w:endnote>
  <w:endnote w:type="continuationNotice" w:id="1">
    <w:p w14:paraId="2ED3FB31" w14:textId="77777777" w:rsidR="000E6EAB" w:rsidRDefault="000E6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63494"/>
      <w:docPartObj>
        <w:docPartGallery w:val="Page Numbers (Bottom of Page)"/>
        <w:docPartUnique/>
      </w:docPartObj>
    </w:sdtPr>
    <w:sdtEndPr/>
    <w:sdtContent>
      <w:p w14:paraId="477C2927" w14:textId="5B3E83BD" w:rsidR="004F6D46" w:rsidRDefault="004F6D46" w:rsidP="004F6D46">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308D" w14:textId="77777777" w:rsidR="000E6EAB" w:rsidRDefault="000E6EAB" w:rsidP="00374391">
      <w:pPr>
        <w:spacing w:after="0" w:line="240" w:lineRule="auto"/>
      </w:pPr>
      <w:r>
        <w:separator/>
      </w:r>
    </w:p>
  </w:footnote>
  <w:footnote w:type="continuationSeparator" w:id="0">
    <w:p w14:paraId="375456EF" w14:textId="77777777" w:rsidR="000E6EAB" w:rsidRDefault="000E6EAB" w:rsidP="00374391">
      <w:pPr>
        <w:spacing w:after="0" w:line="240" w:lineRule="auto"/>
      </w:pPr>
      <w:r>
        <w:continuationSeparator/>
      </w:r>
    </w:p>
  </w:footnote>
  <w:footnote w:type="continuationNotice" w:id="1">
    <w:p w14:paraId="0FDA6091" w14:textId="77777777" w:rsidR="000E6EAB" w:rsidRDefault="000E6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E31" w14:textId="57B7F8F4" w:rsidR="00374391" w:rsidRDefault="00374391" w:rsidP="00374391">
    <w:pPr>
      <w:pStyle w:val="Kopfzeile"/>
      <w:jc w:val="right"/>
    </w:pPr>
    <w:r>
      <w:rPr>
        <w:noProof/>
      </w:rPr>
      <w:drawing>
        <wp:inline distT="0" distB="0" distL="0" distR="0" wp14:anchorId="47D6A03A" wp14:editId="7D64417C">
          <wp:extent cx="1981199" cy="247650"/>
          <wp:effectExtent l="0" t="0" r="635" b="0"/>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28280" cy="253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6B"/>
    <w:multiLevelType w:val="multilevel"/>
    <w:tmpl w:val="6C9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257D9"/>
    <w:multiLevelType w:val="multilevel"/>
    <w:tmpl w:val="79B48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83087"/>
    <w:multiLevelType w:val="multilevel"/>
    <w:tmpl w:val="CD4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86C8F"/>
    <w:multiLevelType w:val="multilevel"/>
    <w:tmpl w:val="85FA56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21135"/>
    <w:multiLevelType w:val="multilevel"/>
    <w:tmpl w:val="8550F6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495C6B"/>
    <w:multiLevelType w:val="hybridMultilevel"/>
    <w:tmpl w:val="863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5253EC"/>
    <w:multiLevelType w:val="multilevel"/>
    <w:tmpl w:val="B010E0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8A7B60"/>
    <w:multiLevelType w:val="hybridMultilevel"/>
    <w:tmpl w:val="21AC3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EC0D9F"/>
    <w:multiLevelType w:val="multilevel"/>
    <w:tmpl w:val="79B48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C16912"/>
    <w:multiLevelType w:val="hybridMultilevel"/>
    <w:tmpl w:val="6F6AC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876ADC"/>
    <w:multiLevelType w:val="multilevel"/>
    <w:tmpl w:val="84C88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92962458">
    <w:abstractNumId w:val="8"/>
  </w:num>
  <w:num w:numId="2" w16cid:durableId="1185942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16423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936736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6757">
    <w:abstractNumId w:val="1"/>
  </w:num>
  <w:num w:numId="6" w16cid:durableId="250164487">
    <w:abstractNumId w:val="3"/>
  </w:num>
  <w:num w:numId="7" w16cid:durableId="710501221">
    <w:abstractNumId w:val="0"/>
  </w:num>
  <w:num w:numId="8" w16cid:durableId="908921923">
    <w:abstractNumId w:val="2"/>
  </w:num>
  <w:num w:numId="9" w16cid:durableId="1912545404">
    <w:abstractNumId w:val="7"/>
  </w:num>
  <w:num w:numId="10" w16cid:durableId="1296332399">
    <w:abstractNumId w:val="9"/>
  </w:num>
  <w:num w:numId="11" w16cid:durableId="16275396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NTI2sTQ1NzY3MTVX0lEKTi0uzszPAykwqgUAQdpqICwAAAA="/>
  </w:docVars>
  <w:rsids>
    <w:rsidRoot w:val="00856F92"/>
    <w:rsid w:val="00020942"/>
    <w:rsid w:val="0003357A"/>
    <w:rsid w:val="00041FBA"/>
    <w:rsid w:val="00063BFE"/>
    <w:rsid w:val="00064F69"/>
    <w:rsid w:val="000A42C9"/>
    <w:rsid w:val="000A4D32"/>
    <w:rsid w:val="000A603A"/>
    <w:rsid w:val="000C22EB"/>
    <w:rsid w:val="000E6EAB"/>
    <w:rsid w:val="000F0FFB"/>
    <w:rsid w:val="000F6595"/>
    <w:rsid w:val="00107B1B"/>
    <w:rsid w:val="0011555E"/>
    <w:rsid w:val="00116377"/>
    <w:rsid w:val="00116C47"/>
    <w:rsid w:val="00135637"/>
    <w:rsid w:val="001365F5"/>
    <w:rsid w:val="00147752"/>
    <w:rsid w:val="00150ACF"/>
    <w:rsid w:val="00161645"/>
    <w:rsid w:val="00164F1B"/>
    <w:rsid w:val="001651F7"/>
    <w:rsid w:val="0019163F"/>
    <w:rsid w:val="001A45EE"/>
    <w:rsid w:val="001B24F7"/>
    <w:rsid w:val="001B56E8"/>
    <w:rsid w:val="00211152"/>
    <w:rsid w:val="00231A87"/>
    <w:rsid w:val="00231D93"/>
    <w:rsid w:val="00245E0F"/>
    <w:rsid w:val="00267F95"/>
    <w:rsid w:val="00274B93"/>
    <w:rsid w:val="002911D4"/>
    <w:rsid w:val="002A79C8"/>
    <w:rsid w:val="002B7847"/>
    <w:rsid w:val="002C1D02"/>
    <w:rsid w:val="002C25B0"/>
    <w:rsid w:val="002D5528"/>
    <w:rsid w:val="002E3BF9"/>
    <w:rsid w:val="002E4677"/>
    <w:rsid w:val="002E632B"/>
    <w:rsid w:val="002F149C"/>
    <w:rsid w:val="00305E69"/>
    <w:rsid w:val="003065E8"/>
    <w:rsid w:val="00311D4F"/>
    <w:rsid w:val="00322ADA"/>
    <w:rsid w:val="003250E7"/>
    <w:rsid w:val="00337019"/>
    <w:rsid w:val="00345AE2"/>
    <w:rsid w:val="00374391"/>
    <w:rsid w:val="003A237C"/>
    <w:rsid w:val="003A398F"/>
    <w:rsid w:val="003D1C8E"/>
    <w:rsid w:val="003E6881"/>
    <w:rsid w:val="003F3F2A"/>
    <w:rsid w:val="003F4032"/>
    <w:rsid w:val="003F4AA1"/>
    <w:rsid w:val="004228BD"/>
    <w:rsid w:val="00431C88"/>
    <w:rsid w:val="00452D31"/>
    <w:rsid w:val="00471E22"/>
    <w:rsid w:val="00485896"/>
    <w:rsid w:val="0049110A"/>
    <w:rsid w:val="004959F9"/>
    <w:rsid w:val="004A7456"/>
    <w:rsid w:val="004D0DF7"/>
    <w:rsid w:val="004D2A88"/>
    <w:rsid w:val="004F6D46"/>
    <w:rsid w:val="005032A2"/>
    <w:rsid w:val="005151A7"/>
    <w:rsid w:val="005408A9"/>
    <w:rsid w:val="00541ACB"/>
    <w:rsid w:val="00554AC3"/>
    <w:rsid w:val="0056028A"/>
    <w:rsid w:val="00563391"/>
    <w:rsid w:val="00570AE2"/>
    <w:rsid w:val="00587AE0"/>
    <w:rsid w:val="00596E68"/>
    <w:rsid w:val="005A39CF"/>
    <w:rsid w:val="005B320A"/>
    <w:rsid w:val="005C2763"/>
    <w:rsid w:val="005C3453"/>
    <w:rsid w:val="005C7B21"/>
    <w:rsid w:val="005E0528"/>
    <w:rsid w:val="005F0059"/>
    <w:rsid w:val="005F342C"/>
    <w:rsid w:val="00601095"/>
    <w:rsid w:val="00606E30"/>
    <w:rsid w:val="006114C2"/>
    <w:rsid w:val="00621427"/>
    <w:rsid w:val="00657EBA"/>
    <w:rsid w:val="00660D6F"/>
    <w:rsid w:val="006713D6"/>
    <w:rsid w:val="0068049C"/>
    <w:rsid w:val="0068645C"/>
    <w:rsid w:val="0068669F"/>
    <w:rsid w:val="00693F69"/>
    <w:rsid w:val="006A531A"/>
    <w:rsid w:val="006B0EFF"/>
    <w:rsid w:val="006B3297"/>
    <w:rsid w:val="006C5852"/>
    <w:rsid w:val="006C5A93"/>
    <w:rsid w:val="006C715C"/>
    <w:rsid w:val="006D35E3"/>
    <w:rsid w:val="006E2C4E"/>
    <w:rsid w:val="006F0265"/>
    <w:rsid w:val="007017A9"/>
    <w:rsid w:val="00706D5E"/>
    <w:rsid w:val="00710D53"/>
    <w:rsid w:val="00712B29"/>
    <w:rsid w:val="00736089"/>
    <w:rsid w:val="00760061"/>
    <w:rsid w:val="00792778"/>
    <w:rsid w:val="007A05CE"/>
    <w:rsid w:val="007A0FFD"/>
    <w:rsid w:val="007B10E0"/>
    <w:rsid w:val="007B20FD"/>
    <w:rsid w:val="007C1F29"/>
    <w:rsid w:val="007C5886"/>
    <w:rsid w:val="007D5F66"/>
    <w:rsid w:val="008276ED"/>
    <w:rsid w:val="008451AE"/>
    <w:rsid w:val="00852F2D"/>
    <w:rsid w:val="00856F92"/>
    <w:rsid w:val="008702EB"/>
    <w:rsid w:val="00870BCE"/>
    <w:rsid w:val="008724F5"/>
    <w:rsid w:val="0087457C"/>
    <w:rsid w:val="008759FC"/>
    <w:rsid w:val="008805CF"/>
    <w:rsid w:val="00880A78"/>
    <w:rsid w:val="00883916"/>
    <w:rsid w:val="008A45D3"/>
    <w:rsid w:val="008B1EAE"/>
    <w:rsid w:val="008E26CD"/>
    <w:rsid w:val="0090125E"/>
    <w:rsid w:val="00911A18"/>
    <w:rsid w:val="0094271E"/>
    <w:rsid w:val="00944F77"/>
    <w:rsid w:val="0096278B"/>
    <w:rsid w:val="009801B0"/>
    <w:rsid w:val="0098272B"/>
    <w:rsid w:val="009866FA"/>
    <w:rsid w:val="009958EC"/>
    <w:rsid w:val="009F06F2"/>
    <w:rsid w:val="009F1AF2"/>
    <w:rsid w:val="009F663C"/>
    <w:rsid w:val="00A214B9"/>
    <w:rsid w:val="00A42325"/>
    <w:rsid w:val="00A60DCD"/>
    <w:rsid w:val="00A62996"/>
    <w:rsid w:val="00A66C6B"/>
    <w:rsid w:val="00A71CAF"/>
    <w:rsid w:val="00A74F8B"/>
    <w:rsid w:val="00A77278"/>
    <w:rsid w:val="00A96A4A"/>
    <w:rsid w:val="00AB0350"/>
    <w:rsid w:val="00AB7C8A"/>
    <w:rsid w:val="00AD082A"/>
    <w:rsid w:val="00B000B8"/>
    <w:rsid w:val="00B03577"/>
    <w:rsid w:val="00B04FFE"/>
    <w:rsid w:val="00B20864"/>
    <w:rsid w:val="00B251CD"/>
    <w:rsid w:val="00B31BC1"/>
    <w:rsid w:val="00B37245"/>
    <w:rsid w:val="00B567B4"/>
    <w:rsid w:val="00B60792"/>
    <w:rsid w:val="00B664F2"/>
    <w:rsid w:val="00B6723D"/>
    <w:rsid w:val="00B840B1"/>
    <w:rsid w:val="00B8580D"/>
    <w:rsid w:val="00BE3190"/>
    <w:rsid w:val="00BE39CC"/>
    <w:rsid w:val="00BF0C14"/>
    <w:rsid w:val="00BF23F5"/>
    <w:rsid w:val="00BF67E0"/>
    <w:rsid w:val="00C00848"/>
    <w:rsid w:val="00C00B91"/>
    <w:rsid w:val="00C10843"/>
    <w:rsid w:val="00C11226"/>
    <w:rsid w:val="00C27F9A"/>
    <w:rsid w:val="00C31E84"/>
    <w:rsid w:val="00C37EB7"/>
    <w:rsid w:val="00C759D8"/>
    <w:rsid w:val="00C827A6"/>
    <w:rsid w:val="00C9777E"/>
    <w:rsid w:val="00CB2468"/>
    <w:rsid w:val="00CB340A"/>
    <w:rsid w:val="00CD2ADB"/>
    <w:rsid w:val="00CD536C"/>
    <w:rsid w:val="00CF2C97"/>
    <w:rsid w:val="00CF35AC"/>
    <w:rsid w:val="00CF53E8"/>
    <w:rsid w:val="00D02A0C"/>
    <w:rsid w:val="00D065D8"/>
    <w:rsid w:val="00D07D55"/>
    <w:rsid w:val="00D10F55"/>
    <w:rsid w:val="00D23412"/>
    <w:rsid w:val="00D35682"/>
    <w:rsid w:val="00D4123B"/>
    <w:rsid w:val="00D4524B"/>
    <w:rsid w:val="00D70A86"/>
    <w:rsid w:val="00D75141"/>
    <w:rsid w:val="00DA0433"/>
    <w:rsid w:val="00DB2467"/>
    <w:rsid w:val="00DE25D3"/>
    <w:rsid w:val="00E02ADA"/>
    <w:rsid w:val="00E041EE"/>
    <w:rsid w:val="00E06C70"/>
    <w:rsid w:val="00E31493"/>
    <w:rsid w:val="00E41049"/>
    <w:rsid w:val="00E61EEB"/>
    <w:rsid w:val="00E641CF"/>
    <w:rsid w:val="00E9154D"/>
    <w:rsid w:val="00EB7D18"/>
    <w:rsid w:val="00EB7DE5"/>
    <w:rsid w:val="00EE1CD2"/>
    <w:rsid w:val="00EE6BC9"/>
    <w:rsid w:val="00EF19A9"/>
    <w:rsid w:val="00F015F2"/>
    <w:rsid w:val="00F04B83"/>
    <w:rsid w:val="00F07CE0"/>
    <w:rsid w:val="00F139CE"/>
    <w:rsid w:val="00F15E5D"/>
    <w:rsid w:val="00F31140"/>
    <w:rsid w:val="00F34868"/>
    <w:rsid w:val="00F35EC2"/>
    <w:rsid w:val="00F36518"/>
    <w:rsid w:val="00F4025A"/>
    <w:rsid w:val="00F417B2"/>
    <w:rsid w:val="00F64179"/>
    <w:rsid w:val="00F66B8B"/>
    <w:rsid w:val="00F71670"/>
    <w:rsid w:val="00F85F25"/>
    <w:rsid w:val="00F90E6D"/>
    <w:rsid w:val="00F97E7D"/>
    <w:rsid w:val="00FA73CD"/>
    <w:rsid w:val="00FB3DAC"/>
    <w:rsid w:val="00FF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DCDD1"/>
  <w15:docId w15:val="{6CFD246F-CEE0-427D-9FA9-1B0B8432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9C8"/>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3">
    <w:name w:val="Table Normal3"/>
    <w:rsid w:val="00EF19A9"/>
    <w:tblPr>
      <w:tblCellMar>
        <w:top w:w="0" w:type="dxa"/>
        <w:left w:w="0" w:type="dxa"/>
        <w:bottom w:w="0" w:type="dxa"/>
        <w:right w:w="0" w:type="dxa"/>
      </w:tblCellMar>
    </w:tblPr>
  </w:style>
  <w:style w:type="paragraph" w:customStyle="1" w:styleId="Normal0">
    <w:name w:val="Normal0"/>
    <w:qFormat/>
    <w:rsid w:val="004A39B9"/>
    <w:rPr>
      <w:lang w:eastAsia="de-CH"/>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Hyperlink">
    <w:name w:val="Hyperlink"/>
    <w:basedOn w:val="Absatz-Standardschriftart"/>
    <w:uiPriority w:val="99"/>
    <w:unhideWhenUsed/>
    <w:rsid w:val="004A39B9"/>
    <w:rPr>
      <w:color w:val="0563C1" w:themeColor="hyperlink"/>
      <w:u w:val="single"/>
    </w:rPr>
  </w:style>
  <w:style w:type="character" w:styleId="NichtaufgelsteErwhnung">
    <w:name w:val="Unresolved Mention"/>
    <w:basedOn w:val="Absatz-Standardschriftart"/>
    <w:uiPriority w:val="99"/>
    <w:semiHidden/>
    <w:unhideWhenUsed/>
    <w:rsid w:val="00640123"/>
    <w:rPr>
      <w:color w:val="605E5C"/>
      <w:shd w:val="clear" w:color="auto" w:fill="E1DFDD"/>
    </w:rPr>
  </w:style>
  <w:style w:type="paragraph" w:styleId="Listenabsatz">
    <w:name w:val="List Paragraph"/>
    <w:basedOn w:val="Normal0"/>
    <w:uiPriority w:val="34"/>
    <w:qFormat/>
    <w:rsid w:val="004E60B6"/>
    <w:pPr>
      <w:ind w:left="720"/>
      <w:contextualSpacing/>
    </w:pPr>
  </w:style>
  <w:style w:type="paragraph" w:customStyle="1" w:styleId="paragraph">
    <w:name w:val="paragraph"/>
    <w:basedOn w:val="Normal0"/>
    <w:rsid w:val="004E60B6"/>
    <w:pPr>
      <w:spacing w:before="100" w:beforeAutospacing="1" w:after="100" w:afterAutospacing="1" w:line="240" w:lineRule="auto"/>
    </w:pPr>
    <w:rPr>
      <w:rFonts w:ascii="Times New Roman" w:eastAsia="Times New Roman" w:hAnsi="Times New Roman" w:cs="Times New Roman"/>
      <w:sz w:val="24"/>
      <w:szCs w:val="24"/>
      <w:lang w:val="de-CH"/>
    </w:rPr>
  </w:style>
  <w:style w:type="character" w:styleId="Kommentarzeichen">
    <w:name w:val="annotation reference"/>
    <w:basedOn w:val="Absatz-Standardschriftart"/>
    <w:uiPriority w:val="99"/>
    <w:semiHidden/>
    <w:unhideWhenUsed/>
    <w:rsid w:val="00500DA2"/>
    <w:rPr>
      <w:sz w:val="16"/>
      <w:szCs w:val="16"/>
    </w:rPr>
  </w:style>
  <w:style w:type="paragraph" w:styleId="Kommentartext">
    <w:name w:val="annotation text"/>
    <w:basedOn w:val="Normal0"/>
    <w:link w:val="KommentartextZchn"/>
    <w:uiPriority w:val="99"/>
    <w:unhideWhenUsed/>
    <w:rsid w:val="00500DA2"/>
    <w:pPr>
      <w:spacing w:line="240" w:lineRule="auto"/>
    </w:pPr>
    <w:rPr>
      <w:sz w:val="20"/>
      <w:szCs w:val="20"/>
    </w:rPr>
  </w:style>
  <w:style w:type="character" w:customStyle="1" w:styleId="KommentartextZchn">
    <w:name w:val="Kommentartext Zchn"/>
    <w:basedOn w:val="Absatz-Standardschriftart"/>
    <w:link w:val="Kommentartext"/>
    <w:uiPriority w:val="99"/>
    <w:rsid w:val="00500DA2"/>
    <w:rPr>
      <w:rFonts w:ascii="Calibri" w:eastAsia="Calibri" w:hAnsi="Calibri" w:cs="Calibri"/>
      <w:sz w:val="20"/>
      <w:szCs w:val="20"/>
      <w:lang w:eastAsia="de-CH"/>
    </w:rPr>
  </w:style>
  <w:style w:type="paragraph" w:styleId="Kommentarthema">
    <w:name w:val="annotation subject"/>
    <w:basedOn w:val="Kommentartext"/>
    <w:next w:val="Kommentartext"/>
    <w:link w:val="KommentarthemaZchn"/>
    <w:uiPriority w:val="99"/>
    <w:semiHidden/>
    <w:unhideWhenUsed/>
    <w:rsid w:val="00500DA2"/>
    <w:rPr>
      <w:b/>
      <w:bCs/>
    </w:rPr>
  </w:style>
  <w:style w:type="character" w:customStyle="1" w:styleId="KommentarthemaZchn">
    <w:name w:val="Kommentarthema Zchn"/>
    <w:basedOn w:val="KommentartextZchn"/>
    <w:link w:val="Kommentarthema"/>
    <w:uiPriority w:val="99"/>
    <w:semiHidden/>
    <w:rsid w:val="00500DA2"/>
    <w:rPr>
      <w:rFonts w:ascii="Calibri" w:eastAsia="Calibri" w:hAnsi="Calibri" w:cs="Calibri"/>
      <w:b/>
      <w:bCs/>
      <w:sz w:val="20"/>
      <w:szCs w:val="20"/>
      <w:lang w:eastAsia="de-CH"/>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3B2AB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B2ABB"/>
  </w:style>
  <w:style w:type="paragraph" w:styleId="Fuzeile">
    <w:name w:val="footer"/>
    <w:basedOn w:val="Standard"/>
    <w:link w:val="FuzeileZchn"/>
    <w:uiPriority w:val="99"/>
    <w:unhideWhenUsed/>
    <w:rsid w:val="003B2AB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B2ABB"/>
  </w:style>
  <w:style w:type="paragraph" w:customStyle="1" w:styleId="gmail-m3712849073989230499gmail-m207855368897810822msolistparagraph">
    <w:name w:val="gmail-m_3712849073989230499gmail-m207855368897810822msolistparagraph"/>
    <w:basedOn w:val="Standard"/>
    <w:rsid w:val="00F97E7D"/>
    <w:pPr>
      <w:spacing w:before="100" w:beforeAutospacing="1" w:after="100" w:afterAutospacing="1" w:line="240" w:lineRule="auto"/>
    </w:pPr>
    <w:rPr>
      <w:rFonts w:eastAsiaTheme="minorHAnsi"/>
    </w:rPr>
  </w:style>
  <w:style w:type="table" w:customStyle="1" w:styleId="TableNormal1">
    <w:name w:val="Table Normal1"/>
    <w:rsid w:val="002E4677"/>
    <w:tblPr>
      <w:tblCellMar>
        <w:top w:w="0" w:type="dxa"/>
        <w:left w:w="0" w:type="dxa"/>
        <w:bottom w:w="0" w:type="dxa"/>
        <w:right w:w="0" w:type="dxa"/>
      </w:tblCellMar>
    </w:tblPr>
  </w:style>
  <w:style w:type="table" w:customStyle="1" w:styleId="TableNormal2">
    <w:name w:val="Table Normal2"/>
    <w:rsid w:val="002E4677"/>
    <w:tblPr>
      <w:tblCellMar>
        <w:top w:w="0" w:type="dxa"/>
        <w:left w:w="0" w:type="dxa"/>
        <w:bottom w:w="0" w:type="dxa"/>
        <w:right w:w="0" w:type="dxa"/>
      </w:tblCellMar>
    </w:tblPr>
  </w:style>
  <w:style w:type="table" w:customStyle="1" w:styleId="TableNormal4">
    <w:name w:val="Table Normal4"/>
    <w:rsid w:val="00A77278"/>
    <w:tblPr>
      <w:tblCellMar>
        <w:top w:w="0" w:type="dxa"/>
        <w:left w:w="0" w:type="dxa"/>
        <w:bottom w:w="0" w:type="dxa"/>
        <w:right w:w="0" w:type="dxa"/>
      </w:tblCellMar>
    </w:tblPr>
  </w:style>
  <w:style w:type="character" w:customStyle="1" w:styleId="normaltextrun">
    <w:name w:val="normaltextrun"/>
    <w:basedOn w:val="Absatz-Standardschriftart"/>
    <w:rsid w:val="004959F9"/>
  </w:style>
  <w:style w:type="character" w:customStyle="1" w:styleId="eop">
    <w:name w:val="eop"/>
    <w:basedOn w:val="Absatz-Standardschriftart"/>
    <w:rsid w:val="0049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3294">
      <w:bodyDiv w:val="1"/>
      <w:marLeft w:val="0"/>
      <w:marRight w:val="0"/>
      <w:marTop w:val="0"/>
      <w:marBottom w:val="0"/>
      <w:divBdr>
        <w:top w:val="none" w:sz="0" w:space="0" w:color="auto"/>
        <w:left w:val="none" w:sz="0" w:space="0" w:color="auto"/>
        <w:bottom w:val="none" w:sz="0" w:space="0" w:color="auto"/>
        <w:right w:val="none" w:sz="0" w:space="0" w:color="auto"/>
      </w:divBdr>
    </w:div>
    <w:div w:id="570040012">
      <w:bodyDiv w:val="1"/>
      <w:marLeft w:val="0"/>
      <w:marRight w:val="0"/>
      <w:marTop w:val="0"/>
      <w:marBottom w:val="0"/>
      <w:divBdr>
        <w:top w:val="none" w:sz="0" w:space="0" w:color="auto"/>
        <w:left w:val="none" w:sz="0" w:space="0" w:color="auto"/>
        <w:bottom w:val="none" w:sz="0" w:space="0" w:color="auto"/>
        <w:right w:val="none" w:sz="0" w:space="0" w:color="auto"/>
      </w:divBdr>
    </w:div>
    <w:div w:id="614022746">
      <w:bodyDiv w:val="1"/>
      <w:marLeft w:val="0"/>
      <w:marRight w:val="0"/>
      <w:marTop w:val="0"/>
      <w:marBottom w:val="0"/>
      <w:divBdr>
        <w:top w:val="none" w:sz="0" w:space="0" w:color="auto"/>
        <w:left w:val="none" w:sz="0" w:space="0" w:color="auto"/>
        <w:bottom w:val="none" w:sz="0" w:space="0" w:color="auto"/>
        <w:right w:val="none" w:sz="0" w:space="0" w:color="auto"/>
      </w:divBdr>
    </w:div>
    <w:div w:id="1184174373">
      <w:bodyDiv w:val="1"/>
      <w:marLeft w:val="0"/>
      <w:marRight w:val="0"/>
      <w:marTop w:val="0"/>
      <w:marBottom w:val="0"/>
      <w:divBdr>
        <w:top w:val="none" w:sz="0" w:space="0" w:color="auto"/>
        <w:left w:val="none" w:sz="0" w:space="0" w:color="auto"/>
        <w:bottom w:val="none" w:sz="0" w:space="0" w:color="auto"/>
        <w:right w:val="none" w:sz="0" w:space="0" w:color="auto"/>
      </w:divBdr>
    </w:div>
    <w:div w:id="1471678248">
      <w:bodyDiv w:val="1"/>
      <w:marLeft w:val="0"/>
      <w:marRight w:val="0"/>
      <w:marTop w:val="0"/>
      <w:marBottom w:val="0"/>
      <w:divBdr>
        <w:top w:val="none" w:sz="0" w:space="0" w:color="auto"/>
        <w:left w:val="none" w:sz="0" w:space="0" w:color="auto"/>
        <w:bottom w:val="none" w:sz="0" w:space="0" w:color="auto"/>
        <w:right w:val="none" w:sz="0" w:space="0" w:color="auto"/>
      </w:divBdr>
    </w:div>
    <w:div w:id="1975678064">
      <w:bodyDiv w:val="1"/>
      <w:marLeft w:val="0"/>
      <w:marRight w:val="0"/>
      <w:marTop w:val="0"/>
      <w:marBottom w:val="0"/>
      <w:divBdr>
        <w:top w:val="none" w:sz="0" w:space="0" w:color="auto"/>
        <w:left w:val="none" w:sz="0" w:space="0" w:color="auto"/>
        <w:bottom w:val="none" w:sz="0" w:space="0" w:color="auto"/>
        <w:right w:val="none" w:sz="0" w:space="0" w:color="auto"/>
      </w:divBdr>
    </w:div>
    <w:div w:id="210515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1shar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s@21shar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1shar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21sha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ff9f17-17e0-4c25-9281-a4f96406b82a" xsi:nil="true"/>
    <lcf76f155ced4ddcb4097134ff3c332f xmlns="4ad3ebe9-9743-4508-a57b-0c76ee94b7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6B6F40B1E00741BC9ECABC383DE209" ma:contentTypeVersion="13" ma:contentTypeDescription="Create a new document." ma:contentTypeScope="" ma:versionID="b2c7cfea50c593691a246210d2270140">
  <xsd:schema xmlns:xsd="http://www.w3.org/2001/XMLSchema" xmlns:xs="http://www.w3.org/2001/XMLSchema" xmlns:p="http://schemas.microsoft.com/office/2006/metadata/properties" xmlns:ns2="4ad3ebe9-9743-4508-a57b-0c76ee94b799" xmlns:ns3="2cff9f17-17e0-4c25-9281-a4f96406b82a" targetNamespace="http://schemas.microsoft.com/office/2006/metadata/properties" ma:root="true" ma:fieldsID="15ebf70ceac5007d8e737848ac861b90" ns2:_="" ns3:_="">
    <xsd:import namespace="4ad3ebe9-9743-4508-a57b-0c76ee94b799"/>
    <xsd:import namespace="2cff9f17-17e0-4c25-9281-a4f96406b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3ebe9-9743-4508-a57b-0c76ee94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f9f17-17e0-4c25-9281-a4f96406b8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f9199f5-eecb-4e7b-b1ce-0edb519d8b23}" ma:internalName="TaxCatchAll" ma:showField="CatchAllData" ma:web="2cff9f17-17e0-4c25-9281-a4f96406b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frcvaFB/Hupg8OMjxcErPJUN8Og==">AMUW2mXUoQQxgy7BE93a68NpMokxCapvS2oaiALgbiKJKzxjjGT3hmgzRvPCKhzXFrSttpjLUn2WDP2g7f+pNNohKYhJj/L0sJ/m9UpIzi9maOe59kX46G1kzdN59tyUuikyw1aSDsZ3</go:docsCustomData>
</go:gDocsCustomXmlDataStorage>
</file>

<file path=customXml/itemProps1.xml><?xml version="1.0" encoding="utf-8"?>
<ds:datastoreItem xmlns:ds="http://schemas.openxmlformats.org/officeDocument/2006/customXml" ds:itemID="{F203F9DB-0CB8-4849-921A-5AF09ED4AB05}">
  <ds:schemaRefs>
    <ds:schemaRef ds:uri="http://schemas.microsoft.com/office/2006/metadata/properties"/>
    <ds:schemaRef ds:uri="http://schemas.microsoft.com/office/infopath/2007/PartnerControls"/>
    <ds:schemaRef ds:uri="2cff9f17-17e0-4c25-9281-a4f96406b82a"/>
    <ds:schemaRef ds:uri="4ad3ebe9-9743-4508-a57b-0c76ee94b799"/>
  </ds:schemaRefs>
</ds:datastoreItem>
</file>

<file path=customXml/itemProps2.xml><?xml version="1.0" encoding="utf-8"?>
<ds:datastoreItem xmlns:ds="http://schemas.openxmlformats.org/officeDocument/2006/customXml" ds:itemID="{5D47179E-4754-4299-9533-A5341FA09FFB}">
  <ds:schemaRefs>
    <ds:schemaRef ds:uri="http://schemas.microsoft.com/sharepoint/v3/contenttype/forms"/>
  </ds:schemaRefs>
</ds:datastoreItem>
</file>

<file path=customXml/itemProps3.xml><?xml version="1.0" encoding="utf-8"?>
<ds:datastoreItem xmlns:ds="http://schemas.openxmlformats.org/officeDocument/2006/customXml" ds:itemID="{525DE228-3AA5-49B7-9DE7-DD04CF33688B}">
  <ds:schemaRefs>
    <ds:schemaRef ds:uri="http://schemas.openxmlformats.org/officeDocument/2006/bibliography"/>
  </ds:schemaRefs>
</ds:datastoreItem>
</file>

<file path=customXml/itemProps4.xml><?xml version="1.0" encoding="utf-8"?>
<ds:datastoreItem xmlns:ds="http://schemas.openxmlformats.org/officeDocument/2006/customXml" ds:itemID="{EDC26C29-E331-4F74-83D6-03E66F3F1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3ebe9-9743-4508-a57b-0c76ee94b799"/>
    <ds:schemaRef ds:uri="2cff9f17-17e0-4c25-9281-a4f96406b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Links>
    <vt:vector size="18" baseType="variant">
      <vt:variant>
        <vt:i4>6</vt:i4>
      </vt:variant>
      <vt:variant>
        <vt:i4>6</vt:i4>
      </vt:variant>
      <vt:variant>
        <vt:i4>0</vt:i4>
      </vt:variant>
      <vt:variant>
        <vt:i4>5</vt:i4>
      </vt:variant>
      <vt:variant>
        <vt:lpwstr>http://www.21shares.com/</vt:lpwstr>
      </vt:variant>
      <vt:variant>
        <vt:lpwstr/>
      </vt:variant>
      <vt:variant>
        <vt:i4>6</vt:i4>
      </vt:variant>
      <vt:variant>
        <vt:i4>3</vt:i4>
      </vt:variant>
      <vt:variant>
        <vt:i4>0</vt:i4>
      </vt:variant>
      <vt:variant>
        <vt:i4>5</vt:i4>
      </vt:variant>
      <vt:variant>
        <vt:lpwstr>http://www.21shares.com/</vt:lpwstr>
      </vt:variant>
      <vt:variant>
        <vt:lpwstr/>
      </vt:variant>
      <vt:variant>
        <vt:i4>48</vt:i4>
      </vt:variant>
      <vt:variant>
        <vt:i4>0</vt:i4>
      </vt:variant>
      <vt:variant>
        <vt:i4>0</vt:i4>
      </vt:variant>
      <vt:variant>
        <vt:i4>5</vt:i4>
      </vt:variant>
      <vt:variant>
        <vt:lpwstr>mailto:press@21shares.com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furrerhugi. ag</dc:creator>
  <cp:keywords/>
  <cp:lastModifiedBy>Laurin Brüniger</cp:lastModifiedBy>
  <cp:revision>110</cp:revision>
  <dcterms:created xsi:type="dcterms:W3CDTF">2022-04-19T11:45:00Z</dcterms:created>
  <dcterms:modified xsi:type="dcterms:W3CDTF">2022-04-25T08:00:00Z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0x0101003E6B6F40B1E00741BC9ECABC383DE209</vt:lpwstr>
  </property>
  <property fmtid="{D5CDD505-2E9C-101B-9397-08002B2CF9AE}" pid="3" name="MediaServiceImageTags">
    <vt:lpwstr/>
  </property>
</Properties>
</file>